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ind w:hanging="142"/>
        <w:jc w:val="center"/>
        <w:outlineLvl w:val="0"/>
        <w:rPr>
          <w:rFonts w:ascii="微软雅黑" w:hAnsi="微软雅黑" w:eastAsia="微软雅黑" w:cs="宋体"/>
          <w:b/>
          <w:color w:val="000000"/>
          <w:kern w:val="0"/>
          <w:sz w:val="24"/>
          <w:szCs w:val="24"/>
        </w:rPr>
      </w:pPr>
      <w:r>
        <w:rPr>
          <w:rFonts w:hint="eastAsia" w:ascii="微软雅黑" w:hAnsi="微软雅黑" w:eastAsia="微软雅黑" w:cs="宋体"/>
          <w:b/>
          <w:color w:val="000000"/>
          <w:kern w:val="0"/>
          <w:sz w:val="24"/>
          <w:szCs w:val="24"/>
        </w:rPr>
        <w:t>关于【兴银理财添利天天利46号现金管理型理财产品】</w:t>
      </w:r>
    </w:p>
    <w:p>
      <w:pPr>
        <w:autoSpaceDE w:val="0"/>
        <w:autoSpaceDN w:val="0"/>
        <w:adjustRightInd w:val="0"/>
        <w:spacing w:line="360" w:lineRule="auto"/>
        <w:ind w:hanging="142"/>
        <w:jc w:val="center"/>
        <w:outlineLvl w:val="0"/>
        <w:rPr>
          <w:rFonts w:ascii="微软雅黑" w:hAnsi="微软雅黑" w:eastAsia="微软雅黑" w:cs="宋体"/>
          <w:b/>
          <w:color w:val="000000"/>
          <w:kern w:val="0"/>
          <w:sz w:val="24"/>
          <w:szCs w:val="24"/>
        </w:rPr>
      </w:pPr>
      <w:r>
        <w:rPr>
          <w:rFonts w:hint="eastAsia" w:ascii="微软雅黑" w:hAnsi="微软雅黑" w:eastAsia="微软雅黑" w:cs="宋体"/>
          <w:b/>
          <w:color w:val="000000"/>
          <w:kern w:val="0"/>
          <w:sz w:val="24"/>
          <w:szCs w:val="24"/>
        </w:rPr>
        <w:t>增设产品份额类别的公告</w:t>
      </w:r>
    </w:p>
    <w:p>
      <w:pPr>
        <w:autoSpaceDE w:val="0"/>
        <w:autoSpaceDN w:val="0"/>
        <w:adjustRightInd w:val="0"/>
        <w:spacing w:line="360" w:lineRule="auto"/>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尊敬的投资者：</w:t>
      </w:r>
    </w:p>
    <w:p>
      <w:pPr>
        <w:autoSpaceDE w:val="0"/>
        <w:autoSpaceDN w:val="0"/>
        <w:adjustRightInd w:val="0"/>
        <w:spacing w:line="360" w:lineRule="auto"/>
        <w:ind w:firstLine="360" w:firstLineChars="200"/>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感谢您持有理财产品（理财产品名称：【兴银理财添利天天利46号现金管理型理财产品】，产品登记编码：【Z7002025000132】，产品代码：【9TTL9460】）（以下简称“本产品”），本产品于【20</w:t>
      </w:r>
      <w:r>
        <w:rPr>
          <w:rFonts w:hint="eastAsia" w:ascii="微软雅黑" w:hAnsi="微软雅黑" w:eastAsia="微软雅黑" w:cs="宋体"/>
          <w:color w:val="000000"/>
          <w:kern w:val="0"/>
          <w:sz w:val="18"/>
          <w:szCs w:val="18"/>
          <w:lang w:val="en-US" w:eastAsia="zh-CN"/>
        </w:rPr>
        <w:t>25</w:t>
      </w:r>
      <w:r>
        <w:rPr>
          <w:rFonts w:hint="eastAsia" w:ascii="微软雅黑" w:hAnsi="微软雅黑" w:eastAsia="微软雅黑" w:cs="宋体"/>
          <w:color w:val="000000"/>
          <w:kern w:val="0"/>
          <w:sz w:val="18"/>
          <w:szCs w:val="18"/>
        </w:rPr>
        <w:t>年</w:t>
      </w:r>
      <w:r>
        <w:rPr>
          <w:rFonts w:hint="eastAsia" w:ascii="微软雅黑" w:hAnsi="微软雅黑" w:eastAsia="微软雅黑" w:cs="宋体"/>
          <w:color w:val="000000"/>
          <w:kern w:val="0"/>
          <w:sz w:val="18"/>
          <w:szCs w:val="18"/>
          <w:lang w:val="en-US" w:eastAsia="zh-CN"/>
        </w:rPr>
        <w:t>3</w:t>
      </w:r>
      <w:r>
        <w:rPr>
          <w:rFonts w:hint="eastAsia" w:ascii="微软雅黑" w:hAnsi="微软雅黑" w:eastAsia="微软雅黑" w:cs="宋体"/>
          <w:color w:val="000000"/>
          <w:kern w:val="0"/>
          <w:sz w:val="18"/>
          <w:szCs w:val="18"/>
        </w:rPr>
        <w:t>月</w:t>
      </w:r>
      <w:r>
        <w:rPr>
          <w:rFonts w:hint="eastAsia" w:ascii="微软雅黑" w:hAnsi="微软雅黑" w:eastAsia="微软雅黑" w:cs="宋体"/>
          <w:color w:val="000000"/>
          <w:kern w:val="0"/>
          <w:sz w:val="18"/>
          <w:szCs w:val="18"/>
          <w:lang w:val="en-US" w:eastAsia="zh-CN"/>
        </w:rPr>
        <w:t>2</w:t>
      </w:r>
      <w:bookmarkStart w:id="0" w:name="_GoBack"/>
      <w:r>
        <w:rPr>
          <w:rFonts w:hint="eastAsia" w:ascii="微软雅黑" w:hAnsi="微软雅黑" w:eastAsia="微软雅黑" w:cs="宋体"/>
          <w:color w:val="000000"/>
          <w:kern w:val="0"/>
          <w:sz w:val="18"/>
          <w:szCs w:val="18"/>
          <w:lang w:val="en-US" w:eastAsia="zh-CN"/>
        </w:rPr>
        <w:t>1</w:t>
      </w:r>
      <w:r>
        <w:rPr>
          <w:rFonts w:hint="eastAsia" w:ascii="微软雅黑" w:hAnsi="微软雅黑" w:eastAsia="微软雅黑" w:cs="宋体"/>
          <w:color w:val="000000"/>
          <w:kern w:val="0"/>
          <w:sz w:val="18"/>
          <w:szCs w:val="18"/>
        </w:rPr>
        <w:t>日</w:t>
      </w:r>
      <w:bookmarkEnd w:id="0"/>
      <w:r>
        <w:rPr>
          <w:rFonts w:hint="eastAsia" w:ascii="微软雅黑" w:hAnsi="微软雅黑" w:eastAsia="微软雅黑" w:cs="宋体"/>
          <w:color w:val="000000"/>
          <w:kern w:val="0"/>
          <w:sz w:val="18"/>
          <w:szCs w:val="18"/>
        </w:rPr>
        <w:t>】成立并投资运作至今。根据理财产品销售文件约定，本产品根据投资者购买理财产品的金额、投资者类型、销售渠道等因素，对投资者所持有的理财产品份额设置不同的理财产品份额类别。现管理人对本产品增设产品份额类别并公告如下：</w:t>
      </w:r>
    </w:p>
    <w:p>
      <w:pPr>
        <w:autoSpaceDE w:val="0"/>
        <w:autoSpaceDN w:val="0"/>
        <w:adjustRightInd w:val="0"/>
        <w:spacing w:line="360" w:lineRule="auto"/>
        <w:ind w:firstLine="420"/>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一、本产品现有产品份额类别</w:t>
      </w:r>
    </w:p>
    <w:p>
      <w:pPr>
        <w:autoSpaceDE w:val="0"/>
        <w:autoSpaceDN w:val="0"/>
        <w:adjustRightInd w:val="0"/>
        <w:spacing w:line="360" w:lineRule="auto"/>
        <w:ind w:firstLine="360" w:firstLineChars="200"/>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w:t>
      </w:r>
      <w:r>
        <w:rPr>
          <w:rFonts w:hint="eastAsia" w:ascii="微软雅黑" w:hAnsi="微软雅黑" w:eastAsia="微软雅黑" w:cs="宋体"/>
          <w:color w:val="000000"/>
          <w:kern w:val="0"/>
          <w:sz w:val="18"/>
          <w:szCs w:val="18"/>
          <w:lang w:val="en-US" w:eastAsia="zh-CN"/>
        </w:rPr>
        <w:t>N</w:t>
      </w:r>
      <w:r>
        <w:rPr>
          <w:rFonts w:ascii="微软雅黑" w:hAnsi="微软雅黑" w:eastAsia="微软雅黑" w:cs="宋体"/>
          <w:color w:val="000000"/>
          <w:kern w:val="0"/>
          <w:sz w:val="18"/>
          <w:szCs w:val="18"/>
        </w:rPr>
        <w:t>】</w:t>
      </w:r>
      <w:r>
        <w:rPr>
          <w:rFonts w:hint="eastAsia" w:ascii="微软雅黑" w:hAnsi="微软雅黑" w:eastAsia="微软雅黑" w:cs="宋体"/>
          <w:color w:val="000000"/>
          <w:kern w:val="0"/>
          <w:sz w:val="18"/>
          <w:szCs w:val="18"/>
        </w:rPr>
        <w:t>类产品份额</w:t>
      </w:r>
    </w:p>
    <w:p>
      <w:pPr>
        <w:autoSpaceDE w:val="0"/>
        <w:autoSpaceDN w:val="0"/>
        <w:adjustRightInd w:val="0"/>
        <w:spacing w:line="360" w:lineRule="auto"/>
        <w:ind w:firstLine="360" w:firstLineChars="200"/>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二、本产品将增设以下产品份额类别</w:t>
      </w:r>
    </w:p>
    <w:p>
      <w:pPr>
        <w:autoSpaceDE w:val="0"/>
        <w:autoSpaceDN w:val="0"/>
        <w:adjustRightInd w:val="0"/>
        <w:spacing w:line="360" w:lineRule="auto"/>
        <w:ind w:firstLine="360" w:firstLineChars="200"/>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现为满足广大投资者的需要，产品管理人决定自【</w:t>
      </w:r>
      <w:r>
        <w:rPr>
          <w:rFonts w:ascii="微软雅黑" w:hAnsi="微软雅黑" w:eastAsia="微软雅黑" w:cs="宋体"/>
          <w:color w:val="000000"/>
          <w:kern w:val="0"/>
          <w:sz w:val="18"/>
          <w:szCs w:val="18"/>
        </w:rPr>
        <w:t>202</w:t>
      </w:r>
      <w:r>
        <w:rPr>
          <w:rFonts w:hint="eastAsia" w:ascii="微软雅黑" w:hAnsi="微软雅黑" w:eastAsia="微软雅黑" w:cs="宋体"/>
          <w:color w:val="000000"/>
          <w:kern w:val="0"/>
          <w:sz w:val="18"/>
          <w:szCs w:val="18"/>
          <w:lang w:val="en-US" w:eastAsia="zh-CN"/>
        </w:rPr>
        <w:t>5</w:t>
      </w:r>
      <w:r>
        <w:rPr>
          <w:rFonts w:hint="eastAsia" w:ascii="微软雅黑" w:hAnsi="微软雅黑" w:eastAsia="微软雅黑" w:cs="宋体"/>
          <w:color w:val="000000"/>
          <w:kern w:val="0"/>
          <w:sz w:val="18"/>
          <w:szCs w:val="18"/>
        </w:rPr>
        <w:t>年</w:t>
      </w:r>
      <w:r>
        <w:rPr>
          <w:rFonts w:hint="eastAsia" w:ascii="微软雅黑" w:hAnsi="微软雅黑" w:eastAsia="微软雅黑" w:cs="宋体"/>
          <w:color w:val="000000"/>
          <w:kern w:val="0"/>
          <w:sz w:val="18"/>
          <w:szCs w:val="18"/>
          <w:lang w:val="en-US" w:eastAsia="zh-CN"/>
        </w:rPr>
        <w:t>5</w:t>
      </w:r>
      <w:r>
        <w:rPr>
          <w:rFonts w:hint="eastAsia" w:ascii="微软雅黑" w:hAnsi="微软雅黑" w:eastAsia="微软雅黑" w:cs="宋体"/>
          <w:color w:val="000000"/>
          <w:kern w:val="0"/>
          <w:sz w:val="18"/>
          <w:szCs w:val="18"/>
        </w:rPr>
        <w:t>月</w:t>
      </w:r>
      <w:r>
        <w:rPr>
          <w:rFonts w:hint="eastAsia" w:ascii="微软雅黑" w:hAnsi="微软雅黑" w:eastAsia="微软雅黑" w:cs="宋体"/>
          <w:color w:val="000000"/>
          <w:kern w:val="0"/>
          <w:sz w:val="18"/>
          <w:szCs w:val="18"/>
          <w:lang w:val="en-US" w:eastAsia="zh-CN"/>
        </w:rPr>
        <w:t>20</w:t>
      </w:r>
      <w:r>
        <w:rPr>
          <w:rFonts w:hint="eastAsia" w:ascii="微软雅黑" w:hAnsi="微软雅黑" w:eastAsia="微软雅黑" w:cs="宋体"/>
          <w:color w:val="000000"/>
          <w:kern w:val="0"/>
          <w:sz w:val="18"/>
          <w:szCs w:val="18"/>
        </w:rPr>
        <w:t>日】起增设【</w:t>
      </w:r>
      <w:r>
        <w:rPr>
          <w:rFonts w:hint="eastAsia" w:ascii="微软雅黑" w:hAnsi="微软雅黑" w:eastAsia="微软雅黑" w:cs="宋体"/>
          <w:color w:val="000000"/>
          <w:kern w:val="0"/>
          <w:sz w:val="18"/>
          <w:szCs w:val="18"/>
          <w:lang w:val="en-US" w:eastAsia="zh-CN"/>
        </w:rPr>
        <w:t>B/C/D/E/F/G/H/V</w:t>
      </w:r>
      <w:r>
        <w:rPr>
          <w:rFonts w:hint="eastAsia" w:ascii="微软雅黑" w:hAnsi="微软雅黑" w:eastAsia="微软雅黑" w:cs="宋体"/>
          <w:color w:val="000000"/>
          <w:kern w:val="0"/>
          <w:sz w:val="18"/>
          <w:szCs w:val="18"/>
        </w:rPr>
        <w:t>】类产品份额，具体产品信息详见理财产品销售文件。</w:t>
      </w:r>
    </w:p>
    <w:p>
      <w:pPr>
        <w:autoSpaceDE w:val="0"/>
        <w:autoSpaceDN w:val="0"/>
        <w:adjustRightInd w:val="0"/>
        <w:spacing w:line="360" w:lineRule="auto"/>
        <w:ind w:firstLine="360" w:firstLineChars="200"/>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三、增设完成后本产品产品份额类别主要要素信息如下：</w:t>
      </w:r>
    </w:p>
    <w:tbl>
      <w:tblPr>
        <w:tblStyle w:val="7"/>
        <w:tblW w:w="537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3098"/>
        <w:gridCol w:w="1130"/>
        <w:gridCol w:w="1656"/>
        <w:gridCol w:w="32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Align w:val="center"/>
          </w:tcPr>
          <w:p>
            <w:pPr>
              <w:adjustRightInd w:val="0"/>
              <w:snapToGrid w:val="0"/>
              <w:jc w:val="center"/>
              <w:rPr>
                <w:rFonts w:ascii="微软雅黑" w:hAnsi="微软雅黑" w:eastAsia="微软雅黑"/>
                <w:sz w:val="18"/>
                <w:szCs w:val="18"/>
              </w:rPr>
            </w:pPr>
            <w:r>
              <w:rPr>
                <w:rFonts w:hint="eastAsia" w:ascii="微软雅黑" w:hAnsi="微软雅黑" w:eastAsia="微软雅黑"/>
                <w:sz w:val="18"/>
                <w:szCs w:val="18"/>
              </w:rPr>
              <w:t>产品名称</w:t>
            </w:r>
          </w:p>
        </w:tc>
        <w:tc>
          <w:tcPr>
            <w:tcW w:w="617" w:type="pct"/>
            <w:vAlign w:val="center"/>
          </w:tcPr>
          <w:p>
            <w:pPr>
              <w:adjustRightInd w:val="0"/>
              <w:snapToGrid w:val="0"/>
              <w:jc w:val="center"/>
              <w:rPr>
                <w:rFonts w:ascii="微软雅黑" w:hAnsi="微软雅黑" w:eastAsia="微软雅黑"/>
                <w:sz w:val="18"/>
                <w:szCs w:val="18"/>
              </w:rPr>
            </w:pPr>
            <w:r>
              <w:rPr>
                <w:rFonts w:hint="eastAsia" w:ascii="微软雅黑" w:hAnsi="微软雅黑" w:eastAsia="微软雅黑"/>
                <w:sz w:val="18"/>
                <w:szCs w:val="18"/>
              </w:rPr>
              <w:t>产品份额类别</w:t>
            </w:r>
          </w:p>
        </w:tc>
        <w:tc>
          <w:tcPr>
            <w:tcW w:w="904" w:type="pct"/>
            <w:vAlign w:val="center"/>
          </w:tcPr>
          <w:p>
            <w:pPr>
              <w:adjustRightInd w:val="0"/>
              <w:snapToGrid w:val="0"/>
              <w:jc w:val="center"/>
              <w:rPr>
                <w:rFonts w:ascii="微软雅黑" w:hAnsi="微软雅黑" w:eastAsia="微软雅黑"/>
                <w:sz w:val="18"/>
                <w:szCs w:val="18"/>
              </w:rPr>
            </w:pPr>
            <w:r>
              <w:rPr>
                <w:rFonts w:hint="eastAsia" w:ascii="微软雅黑" w:hAnsi="微软雅黑" w:eastAsia="微软雅黑"/>
                <w:sz w:val="18"/>
                <w:szCs w:val="18"/>
              </w:rPr>
              <w:t>产品销售代码</w:t>
            </w:r>
          </w:p>
        </w:tc>
        <w:tc>
          <w:tcPr>
            <w:tcW w:w="1785" w:type="pct"/>
            <w:vAlign w:val="center"/>
          </w:tcPr>
          <w:p>
            <w:pPr>
              <w:adjustRightInd w:val="0"/>
              <w:snapToGrid w:val="0"/>
              <w:jc w:val="center"/>
              <w:rPr>
                <w:rFonts w:ascii="微软雅黑" w:hAnsi="微软雅黑" w:eastAsia="微软雅黑"/>
                <w:sz w:val="18"/>
                <w:szCs w:val="18"/>
              </w:rPr>
            </w:pPr>
            <w:r>
              <w:rPr>
                <w:rFonts w:ascii="微软雅黑" w:hAnsi="微软雅黑" w:eastAsia="微软雅黑"/>
                <w:sz w:val="18"/>
                <w:szCs w:val="18"/>
              </w:rPr>
              <w:t>产品销售名称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restart"/>
            <w:vAlign w:val="center"/>
          </w:tcPr>
          <w:p>
            <w:pPr>
              <w:adjustRightInd w:val="0"/>
              <w:snapToGrid w:val="0"/>
              <w:jc w:val="center"/>
              <w:rPr>
                <w:rFonts w:ascii="微软雅黑" w:hAnsi="微软雅黑" w:eastAsia="微软雅黑"/>
                <w:sz w:val="18"/>
                <w:szCs w:val="18"/>
              </w:rPr>
            </w:pPr>
            <w:r>
              <w:rPr>
                <w:rFonts w:hint="eastAsia" w:ascii="微软雅黑" w:hAnsi="微软雅黑" w:eastAsia="微软雅黑" w:cs="宋体"/>
                <w:color w:val="000000"/>
                <w:kern w:val="0"/>
                <w:sz w:val="18"/>
                <w:szCs w:val="18"/>
              </w:rPr>
              <w:t>兴银理财添利天天利46号现金管理型理财产品</w:t>
            </w:r>
          </w:p>
        </w:tc>
        <w:tc>
          <w:tcPr>
            <w:tcW w:w="617" w:type="pct"/>
          </w:tcPr>
          <w:p>
            <w:pPr>
              <w:jc w:val="center"/>
              <w:rPr>
                <w:rFonts w:ascii="微软雅黑" w:hAnsi="微软雅黑" w:eastAsia="微软雅黑"/>
                <w:sz w:val="18"/>
                <w:szCs w:val="18"/>
              </w:rPr>
            </w:pPr>
            <w:r>
              <w:rPr>
                <w:rFonts w:hint="eastAsia" w:ascii="微软雅黑" w:hAnsi="微软雅黑" w:eastAsia="微软雅黑"/>
                <w:sz w:val="18"/>
                <w:szCs w:val="18"/>
                <w:lang w:val="en-US" w:eastAsia="zh-CN"/>
              </w:rPr>
              <w:t>F</w:t>
            </w:r>
            <w:r>
              <w:rPr>
                <w:rFonts w:hint="eastAsia" w:ascii="微软雅黑" w:hAnsi="微软雅黑" w:eastAsia="微软雅黑"/>
                <w:sz w:val="18"/>
                <w:szCs w:val="18"/>
              </w:rPr>
              <w:t>类份额</w:t>
            </w:r>
          </w:p>
        </w:tc>
        <w:tc>
          <w:tcPr>
            <w:tcW w:w="904" w:type="pct"/>
            <w:vAlign w:val="center"/>
          </w:tcPr>
          <w:p>
            <w:pPr>
              <w:jc w:val="center"/>
              <w:rPr>
                <w:rFonts w:hint="default" w:ascii="微软雅黑" w:hAnsi="微软雅黑" w:eastAsia="微软雅黑"/>
                <w:sz w:val="18"/>
                <w:szCs w:val="18"/>
                <w:lang w:val="en-US"/>
              </w:rPr>
            </w:pPr>
            <w:r>
              <w:rPr>
                <w:rFonts w:hint="eastAsia" w:ascii="微软雅黑" w:hAnsi="微软雅黑" w:eastAsia="微软雅黑"/>
                <w:sz w:val="18"/>
                <w:szCs w:val="18"/>
                <w:lang w:val="en-US" w:eastAsia="zh-CN"/>
              </w:rPr>
              <w:t>9TTL946F</w:t>
            </w:r>
          </w:p>
        </w:tc>
        <w:tc>
          <w:tcPr>
            <w:tcW w:w="1785" w:type="pct"/>
            <w:vAlign w:val="center"/>
          </w:tcPr>
          <w:p>
            <w:pPr>
              <w:jc w:val="center"/>
              <w:rPr>
                <w:rFonts w:hint="default" w:ascii="微软雅黑" w:hAnsi="微软雅黑" w:eastAsia="微软雅黑"/>
                <w:sz w:val="18"/>
                <w:szCs w:val="18"/>
                <w:lang w:val="en-US"/>
              </w:rPr>
            </w:pPr>
            <w:r>
              <w:rPr>
                <w:rFonts w:hint="eastAsia" w:ascii="微软雅黑" w:hAnsi="微软雅黑" w:eastAsia="微软雅黑"/>
                <w:sz w:val="18"/>
                <w:szCs w:val="18"/>
                <w:lang w:val="en-US" w:eastAsia="zh-CN"/>
              </w:rPr>
              <w:t>兴银添利天天利46号F</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B</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B</w:t>
            </w:r>
          </w:p>
        </w:tc>
        <w:tc>
          <w:tcPr>
            <w:tcW w:w="1785" w:type="pct"/>
            <w:vAlign w:val="center"/>
          </w:tcPr>
          <w:p>
            <w:pPr>
              <w:jc w:val="center"/>
              <w:rPr>
                <w:rFonts w:hint="default"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兴银添利天天利46号B</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C</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C</w:t>
            </w:r>
          </w:p>
        </w:tc>
        <w:tc>
          <w:tcPr>
            <w:tcW w:w="1785" w:type="pct"/>
            <w:vAlign w:val="center"/>
          </w:tcPr>
          <w:p>
            <w:pPr>
              <w:jc w:val="center"/>
              <w:rPr>
                <w:rFonts w:hint="default"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兴银添利天天利46号C</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D</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D</w:t>
            </w:r>
          </w:p>
        </w:tc>
        <w:tc>
          <w:tcPr>
            <w:tcW w:w="1785" w:type="pct"/>
            <w:vAlign w:val="center"/>
          </w:tcPr>
          <w:p>
            <w:pPr>
              <w:jc w:val="center"/>
              <w:rPr>
                <w:rFonts w:hint="default"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兴银添利天天利46号D</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E</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E</w:t>
            </w:r>
          </w:p>
        </w:tc>
        <w:tc>
          <w:tcPr>
            <w:tcW w:w="1785" w:type="pct"/>
            <w:vAlign w:val="center"/>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兴银添利天天利46号E（私银）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G</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G</w:t>
            </w:r>
          </w:p>
        </w:tc>
        <w:tc>
          <w:tcPr>
            <w:tcW w:w="1785" w:type="pct"/>
            <w:vAlign w:val="center"/>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兴银添利天天利46号（私银）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H</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H</w:t>
            </w:r>
          </w:p>
        </w:tc>
        <w:tc>
          <w:tcPr>
            <w:tcW w:w="1785" w:type="pct"/>
            <w:vAlign w:val="center"/>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兴银添利天天利46号H</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617" w:type="pct"/>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V</w:t>
            </w:r>
            <w:r>
              <w:rPr>
                <w:rFonts w:hint="eastAsia" w:ascii="微软雅黑" w:hAnsi="微软雅黑" w:eastAsia="微软雅黑"/>
                <w:sz w:val="18"/>
                <w:szCs w:val="18"/>
              </w:rPr>
              <w:t>类份额</w:t>
            </w:r>
          </w:p>
        </w:tc>
        <w:tc>
          <w:tcPr>
            <w:tcW w:w="904" w:type="pct"/>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V</w:t>
            </w:r>
          </w:p>
        </w:tc>
        <w:tc>
          <w:tcPr>
            <w:tcW w:w="1785" w:type="pct"/>
            <w:vAlign w:val="center"/>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兴银添利天天利46号V</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6" w:hRule="atLeast"/>
          <w:jc w:val="center"/>
        </w:trPr>
        <w:tc>
          <w:tcPr>
            <w:tcW w:w="1692" w:type="pct"/>
            <w:vMerge w:val="continue"/>
            <w:tcBorders/>
            <w:vAlign w:val="center"/>
          </w:tcPr>
          <w:p>
            <w:pPr>
              <w:adjustRightInd w:val="0"/>
              <w:snapToGrid w:val="0"/>
              <w:jc w:val="center"/>
              <w:rPr>
                <w:rFonts w:ascii="微软雅黑" w:hAnsi="微软雅黑" w:eastAsia="微软雅黑"/>
                <w:sz w:val="18"/>
                <w:szCs w:val="18"/>
              </w:rPr>
            </w:pPr>
          </w:p>
        </w:tc>
        <w:tc>
          <w:tcPr>
            <w:tcW w:w="1130" w:type="dxa"/>
            <w:vAlign w:val="top"/>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N</w:t>
            </w:r>
            <w:r>
              <w:rPr>
                <w:rFonts w:hint="eastAsia" w:ascii="微软雅黑" w:hAnsi="微软雅黑" w:eastAsia="微软雅黑"/>
                <w:sz w:val="18"/>
                <w:szCs w:val="18"/>
              </w:rPr>
              <w:t>类份额</w:t>
            </w:r>
          </w:p>
        </w:tc>
        <w:tc>
          <w:tcPr>
            <w:tcW w:w="1656" w:type="dxa"/>
            <w:vAlign w:val="center"/>
          </w:tcPr>
          <w:p>
            <w:pPr>
              <w:jc w:val="center"/>
              <w:rPr>
                <w:rFonts w:hint="eastAsia" w:ascii="微软雅黑" w:hAnsi="微软雅黑" w:eastAsiaTheme="minorEastAsia"/>
                <w:sz w:val="18"/>
                <w:szCs w:val="18"/>
                <w:lang w:val="en-US" w:eastAsia="zh-CN"/>
              </w:rPr>
            </w:pPr>
            <w:r>
              <w:rPr>
                <w:rFonts w:hint="eastAsia"/>
              </w:rPr>
              <w:t>9TTL946</w:t>
            </w:r>
            <w:r>
              <w:rPr>
                <w:rFonts w:hint="eastAsia"/>
                <w:lang w:val="en-US" w:eastAsia="zh-CN"/>
              </w:rPr>
              <w:t>N</w:t>
            </w:r>
          </w:p>
        </w:tc>
        <w:tc>
          <w:tcPr>
            <w:tcW w:w="1785" w:type="pct"/>
            <w:vAlign w:val="center"/>
          </w:tcPr>
          <w:p>
            <w:pPr>
              <w:jc w:val="center"/>
              <w:rPr>
                <w:rFonts w:hint="eastAsia" w:ascii="微软雅黑" w:hAnsi="微软雅黑" w:eastAsia="微软雅黑"/>
                <w:sz w:val="18"/>
                <w:szCs w:val="18"/>
                <w:lang w:val="en-US" w:eastAsia="zh-CN"/>
              </w:rPr>
            </w:pPr>
            <w:r>
              <w:rPr>
                <w:rFonts w:hint="eastAsia" w:ascii="微软雅黑" w:hAnsi="微软雅黑" w:eastAsia="微软雅黑"/>
                <w:sz w:val="18"/>
                <w:szCs w:val="18"/>
                <w:lang w:val="en-US" w:eastAsia="zh-CN"/>
              </w:rPr>
              <w:t>兴银添利天天利46号N</w:t>
            </w:r>
          </w:p>
        </w:tc>
      </w:tr>
    </w:tbl>
    <w:p>
      <w:pPr>
        <w:adjustRightInd w:val="0"/>
        <w:snapToGrid w:val="0"/>
        <w:rPr>
          <w:rFonts w:ascii="微软雅黑" w:hAnsi="微软雅黑" w:eastAsia="微软雅黑"/>
          <w:sz w:val="18"/>
          <w:szCs w:val="18"/>
        </w:rPr>
      </w:pPr>
      <w:r>
        <w:rPr>
          <w:rFonts w:hint="eastAsia" w:ascii="微软雅黑" w:hAnsi="微软雅黑" w:eastAsia="微软雅黑"/>
          <w:sz w:val="18"/>
          <w:szCs w:val="18"/>
        </w:rPr>
        <w:t>本公告所列示的产品份额类别为本理财产品截止公告日全部产品份额类别。</w:t>
      </w:r>
    </w:p>
    <w:p>
      <w:pPr>
        <w:autoSpaceDE w:val="0"/>
        <w:autoSpaceDN w:val="0"/>
        <w:adjustRightInd w:val="0"/>
        <w:spacing w:line="360" w:lineRule="auto"/>
        <w:ind w:firstLine="360" w:firstLineChars="200"/>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四、投资者可根据实际情况自行选择认购产品份额类别。</w:t>
      </w:r>
    </w:p>
    <w:p>
      <w:pPr>
        <w:autoSpaceDE w:val="0"/>
        <w:autoSpaceDN w:val="0"/>
        <w:adjustRightInd w:val="0"/>
        <w:spacing w:line="360" w:lineRule="auto"/>
        <w:ind w:firstLine="360" w:firstLineChars="200"/>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五、本产品其他信息仍以理财产品销售文件约定为准。如后续有其它调整事项，以产品管理人公告为准。</w:t>
      </w:r>
    </w:p>
    <w:p>
      <w:pPr>
        <w:autoSpaceDE w:val="0"/>
        <w:autoSpaceDN w:val="0"/>
        <w:adjustRightInd w:val="0"/>
        <w:spacing w:line="360" w:lineRule="auto"/>
        <w:ind w:firstLine="360" w:firstLineChars="200"/>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六、如有疑问，您可向兴银理财有限责任公司客户服务热线【40015-95561】咨询。感谢您一直以来对兴银理财有限责任公司的支持！敬请继续关注兴银理财有限责任公司的理财产品。</w:t>
      </w:r>
    </w:p>
    <w:p>
      <w:pPr>
        <w:autoSpaceDE w:val="0"/>
        <w:autoSpaceDN w:val="0"/>
        <w:adjustRightInd w:val="0"/>
        <w:spacing w:line="360" w:lineRule="auto"/>
        <w:ind w:firstLine="360" w:firstLineChars="200"/>
        <w:jc w:val="left"/>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特此公告。</w:t>
      </w:r>
    </w:p>
    <w:p>
      <w:pPr>
        <w:autoSpaceDE w:val="0"/>
        <w:autoSpaceDN w:val="0"/>
        <w:adjustRightInd w:val="0"/>
        <w:spacing w:line="360" w:lineRule="auto"/>
        <w:ind w:firstLine="360" w:firstLineChars="200"/>
        <w:jc w:val="left"/>
        <w:rPr>
          <w:rFonts w:hint="eastAsia" w:ascii="微软雅黑" w:hAnsi="微软雅黑" w:eastAsia="微软雅黑" w:cs="宋体"/>
          <w:color w:val="000000"/>
          <w:kern w:val="0"/>
          <w:sz w:val="18"/>
          <w:szCs w:val="18"/>
        </w:rPr>
      </w:pPr>
    </w:p>
    <w:p>
      <w:pPr>
        <w:autoSpaceDE w:val="0"/>
        <w:autoSpaceDN w:val="0"/>
        <w:adjustRightInd w:val="0"/>
        <w:spacing w:line="360" w:lineRule="auto"/>
        <w:ind w:firstLine="360" w:firstLineChars="200"/>
        <w:jc w:val="righ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产品管理人：兴银理财有限责任公司</w:t>
      </w:r>
    </w:p>
    <w:p>
      <w:pPr>
        <w:wordWrap w:val="0"/>
        <w:autoSpaceDE w:val="0"/>
        <w:autoSpaceDN w:val="0"/>
        <w:adjustRightInd w:val="0"/>
        <w:spacing w:line="360" w:lineRule="auto"/>
        <w:ind w:firstLine="360" w:firstLineChars="200"/>
        <w:jc w:val="righ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w:t>
      </w:r>
      <w:r>
        <w:rPr>
          <w:rFonts w:ascii="微软雅黑" w:hAnsi="微软雅黑" w:eastAsia="微软雅黑" w:cs="宋体"/>
          <w:color w:val="000000"/>
          <w:kern w:val="0"/>
          <w:sz w:val="18"/>
          <w:szCs w:val="18"/>
        </w:rPr>
        <w:t>202</w:t>
      </w:r>
      <w:r>
        <w:rPr>
          <w:rFonts w:hint="eastAsia" w:ascii="微软雅黑" w:hAnsi="微软雅黑" w:eastAsia="微软雅黑" w:cs="宋体"/>
          <w:color w:val="000000"/>
          <w:kern w:val="0"/>
          <w:sz w:val="18"/>
          <w:szCs w:val="18"/>
          <w:lang w:val="en-US" w:eastAsia="zh-CN"/>
        </w:rPr>
        <w:t>5</w:t>
      </w:r>
      <w:r>
        <w:rPr>
          <w:rFonts w:hint="eastAsia" w:ascii="微软雅黑" w:hAnsi="微软雅黑" w:eastAsia="微软雅黑" w:cs="宋体"/>
          <w:color w:val="000000"/>
          <w:kern w:val="0"/>
          <w:sz w:val="18"/>
          <w:szCs w:val="18"/>
        </w:rPr>
        <w:t>年</w:t>
      </w:r>
      <w:r>
        <w:rPr>
          <w:rFonts w:hint="eastAsia" w:ascii="微软雅黑" w:hAnsi="微软雅黑" w:eastAsia="微软雅黑" w:cs="宋体"/>
          <w:color w:val="000000"/>
          <w:kern w:val="0"/>
          <w:sz w:val="18"/>
          <w:szCs w:val="18"/>
          <w:lang w:val="en-US" w:eastAsia="zh-CN"/>
        </w:rPr>
        <w:t>5</w:t>
      </w:r>
      <w:r>
        <w:rPr>
          <w:rFonts w:hint="eastAsia" w:ascii="微软雅黑" w:hAnsi="微软雅黑" w:eastAsia="微软雅黑" w:cs="宋体"/>
          <w:color w:val="000000"/>
          <w:kern w:val="0"/>
          <w:sz w:val="18"/>
          <w:szCs w:val="18"/>
        </w:rPr>
        <w:t>月</w:t>
      </w:r>
      <w:r>
        <w:rPr>
          <w:rFonts w:hint="eastAsia" w:ascii="微软雅黑" w:hAnsi="微软雅黑" w:eastAsia="微软雅黑" w:cs="宋体"/>
          <w:color w:val="000000"/>
          <w:kern w:val="0"/>
          <w:sz w:val="18"/>
          <w:szCs w:val="18"/>
          <w:lang w:val="en-US" w:eastAsia="zh-CN"/>
        </w:rPr>
        <w:t>16</w:t>
      </w:r>
      <w:r>
        <w:rPr>
          <w:rFonts w:hint="eastAsia" w:ascii="微软雅黑" w:hAnsi="微软雅黑" w:eastAsia="微软雅黑" w:cs="宋体"/>
          <w:color w:val="000000"/>
          <w:kern w:val="0"/>
          <w:sz w:val="18"/>
          <w:szCs w:val="1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F10"/>
    <w:rsid w:val="00006E17"/>
    <w:rsid w:val="00034203"/>
    <w:rsid w:val="00034D4F"/>
    <w:rsid w:val="00035D53"/>
    <w:rsid w:val="00036D2C"/>
    <w:rsid w:val="0004186C"/>
    <w:rsid w:val="00050949"/>
    <w:rsid w:val="00072FF7"/>
    <w:rsid w:val="00081684"/>
    <w:rsid w:val="00084B13"/>
    <w:rsid w:val="000A627C"/>
    <w:rsid w:val="000C3972"/>
    <w:rsid w:val="000C4C22"/>
    <w:rsid w:val="000D5492"/>
    <w:rsid w:val="000D6395"/>
    <w:rsid w:val="000E20C7"/>
    <w:rsid w:val="000E2A53"/>
    <w:rsid w:val="000E54AD"/>
    <w:rsid w:val="000E5C62"/>
    <w:rsid w:val="000F0FDC"/>
    <w:rsid w:val="000F672D"/>
    <w:rsid w:val="00132276"/>
    <w:rsid w:val="0013260C"/>
    <w:rsid w:val="001401F5"/>
    <w:rsid w:val="0014705D"/>
    <w:rsid w:val="00192237"/>
    <w:rsid w:val="001A1190"/>
    <w:rsid w:val="001A29B7"/>
    <w:rsid w:val="001E0016"/>
    <w:rsid w:val="001E422D"/>
    <w:rsid w:val="001E71AA"/>
    <w:rsid w:val="002000FF"/>
    <w:rsid w:val="00204F2D"/>
    <w:rsid w:val="002068D4"/>
    <w:rsid w:val="00212132"/>
    <w:rsid w:val="002138FE"/>
    <w:rsid w:val="002173FF"/>
    <w:rsid w:val="00224F11"/>
    <w:rsid w:val="00231A61"/>
    <w:rsid w:val="0023372E"/>
    <w:rsid w:val="0024081A"/>
    <w:rsid w:val="00240DDA"/>
    <w:rsid w:val="00263FE9"/>
    <w:rsid w:val="00276AD9"/>
    <w:rsid w:val="00280731"/>
    <w:rsid w:val="00284608"/>
    <w:rsid w:val="002927FE"/>
    <w:rsid w:val="002A3E9A"/>
    <w:rsid w:val="002B12E1"/>
    <w:rsid w:val="002B7C09"/>
    <w:rsid w:val="002D1BF1"/>
    <w:rsid w:val="002D74B2"/>
    <w:rsid w:val="002E3620"/>
    <w:rsid w:val="002F2938"/>
    <w:rsid w:val="00304BC6"/>
    <w:rsid w:val="0030731B"/>
    <w:rsid w:val="00307CD8"/>
    <w:rsid w:val="0031042E"/>
    <w:rsid w:val="00316637"/>
    <w:rsid w:val="0032110E"/>
    <w:rsid w:val="00323C73"/>
    <w:rsid w:val="00330908"/>
    <w:rsid w:val="003363CC"/>
    <w:rsid w:val="00347994"/>
    <w:rsid w:val="00353BB4"/>
    <w:rsid w:val="0035530A"/>
    <w:rsid w:val="0036545C"/>
    <w:rsid w:val="00371BFD"/>
    <w:rsid w:val="00380DC5"/>
    <w:rsid w:val="00393944"/>
    <w:rsid w:val="003B187B"/>
    <w:rsid w:val="003B1D26"/>
    <w:rsid w:val="003C65C3"/>
    <w:rsid w:val="003C691B"/>
    <w:rsid w:val="003D54D7"/>
    <w:rsid w:val="003E28C3"/>
    <w:rsid w:val="003E6F83"/>
    <w:rsid w:val="003F1803"/>
    <w:rsid w:val="003F4C04"/>
    <w:rsid w:val="003F505B"/>
    <w:rsid w:val="00400F93"/>
    <w:rsid w:val="00404016"/>
    <w:rsid w:val="00415DD9"/>
    <w:rsid w:val="00425787"/>
    <w:rsid w:val="004478F3"/>
    <w:rsid w:val="00463E3F"/>
    <w:rsid w:val="00465329"/>
    <w:rsid w:val="0046621B"/>
    <w:rsid w:val="00474307"/>
    <w:rsid w:val="00484230"/>
    <w:rsid w:val="004920B6"/>
    <w:rsid w:val="004A4480"/>
    <w:rsid w:val="004B39D2"/>
    <w:rsid w:val="004B5CB8"/>
    <w:rsid w:val="004B6016"/>
    <w:rsid w:val="004B7AD7"/>
    <w:rsid w:val="004C521D"/>
    <w:rsid w:val="004D0330"/>
    <w:rsid w:val="004D1F0D"/>
    <w:rsid w:val="004E0700"/>
    <w:rsid w:val="004E504B"/>
    <w:rsid w:val="004F0F10"/>
    <w:rsid w:val="004F324D"/>
    <w:rsid w:val="00531082"/>
    <w:rsid w:val="00533F10"/>
    <w:rsid w:val="0053714C"/>
    <w:rsid w:val="00537250"/>
    <w:rsid w:val="00543302"/>
    <w:rsid w:val="00553F32"/>
    <w:rsid w:val="00553FA4"/>
    <w:rsid w:val="005569E9"/>
    <w:rsid w:val="005646A4"/>
    <w:rsid w:val="005722F2"/>
    <w:rsid w:val="00594B84"/>
    <w:rsid w:val="005A3B62"/>
    <w:rsid w:val="005B6D3D"/>
    <w:rsid w:val="005B7CC4"/>
    <w:rsid w:val="005C0ED6"/>
    <w:rsid w:val="005C2BF2"/>
    <w:rsid w:val="005C5027"/>
    <w:rsid w:val="005D41A2"/>
    <w:rsid w:val="005E59CA"/>
    <w:rsid w:val="005E72D5"/>
    <w:rsid w:val="006206D4"/>
    <w:rsid w:val="006211B5"/>
    <w:rsid w:val="006471FA"/>
    <w:rsid w:val="006527F9"/>
    <w:rsid w:val="00660FA1"/>
    <w:rsid w:val="00672327"/>
    <w:rsid w:val="0067255D"/>
    <w:rsid w:val="0067632D"/>
    <w:rsid w:val="00676970"/>
    <w:rsid w:val="00677F06"/>
    <w:rsid w:val="00685A42"/>
    <w:rsid w:val="00696AD0"/>
    <w:rsid w:val="00697E68"/>
    <w:rsid w:val="006A3A3E"/>
    <w:rsid w:val="006A5A78"/>
    <w:rsid w:val="006B46EF"/>
    <w:rsid w:val="006B4D5D"/>
    <w:rsid w:val="006D0CA6"/>
    <w:rsid w:val="006D1EC4"/>
    <w:rsid w:val="006D2725"/>
    <w:rsid w:val="006D7C9A"/>
    <w:rsid w:val="0071364C"/>
    <w:rsid w:val="0072094D"/>
    <w:rsid w:val="00730925"/>
    <w:rsid w:val="00742B15"/>
    <w:rsid w:val="007600BB"/>
    <w:rsid w:val="00761443"/>
    <w:rsid w:val="00772272"/>
    <w:rsid w:val="00772B76"/>
    <w:rsid w:val="007769E5"/>
    <w:rsid w:val="00781292"/>
    <w:rsid w:val="007820C6"/>
    <w:rsid w:val="00783DD3"/>
    <w:rsid w:val="00784E5A"/>
    <w:rsid w:val="00785EC6"/>
    <w:rsid w:val="007927CF"/>
    <w:rsid w:val="007C3F3C"/>
    <w:rsid w:val="007C49A4"/>
    <w:rsid w:val="007D094D"/>
    <w:rsid w:val="007D0F7C"/>
    <w:rsid w:val="007D3482"/>
    <w:rsid w:val="007E6941"/>
    <w:rsid w:val="008012E0"/>
    <w:rsid w:val="00810834"/>
    <w:rsid w:val="00816704"/>
    <w:rsid w:val="008230D1"/>
    <w:rsid w:val="00826B92"/>
    <w:rsid w:val="00880E83"/>
    <w:rsid w:val="00887682"/>
    <w:rsid w:val="00893A68"/>
    <w:rsid w:val="008953A8"/>
    <w:rsid w:val="008A14A3"/>
    <w:rsid w:val="008A516B"/>
    <w:rsid w:val="008A57FA"/>
    <w:rsid w:val="008B1247"/>
    <w:rsid w:val="008C7ACB"/>
    <w:rsid w:val="008D4B22"/>
    <w:rsid w:val="008F1DF0"/>
    <w:rsid w:val="008F7888"/>
    <w:rsid w:val="0090007A"/>
    <w:rsid w:val="00905974"/>
    <w:rsid w:val="00913897"/>
    <w:rsid w:val="009150F3"/>
    <w:rsid w:val="00917260"/>
    <w:rsid w:val="00935642"/>
    <w:rsid w:val="0095292B"/>
    <w:rsid w:val="00953D1D"/>
    <w:rsid w:val="00971526"/>
    <w:rsid w:val="009742CF"/>
    <w:rsid w:val="0098729F"/>
    <w:rsid w:val="009931C2"/>
    <w:rsid w:val="0099773E"/>
    <w:rsid w:val="009A2482"/>
    <w:rsid w:val="009A2FF7"/>
    <w:rsid w:val="009C50E7"/>
    <w:rsid w:val="009D4391"/>
    <w:rsid w:val="009F05D2"/>
    <w:rsid w:val="009F78AD"/>
    <w:rsid w:val="00A20050"/>
    <w:rsid w:val="00A27ED0"/>
    <w:rsid w:val="00A3015A"/>
    <w:rsid w:val="00A3038E"/>
    <w:rsid w:val="00A46B48"/>
    <w:rsid w:val="00A55127"/>
    <w:rsid w:val="00A65520"/>
    <w:rsid w:val="00A70F18"/>
    <w:rsid w:val="00A76EC2"/>
    <w:rsid w:val="00A94220"/>
    <w:rsid w:val="00AC0292"/>
    <w:rsid w:val="00AC2ACF"/>
    <w:rsid w:val="00AC6A46"/>
    <w:rsid w:val="00AD0A9F"/>
    <w:rsid w:val="00AD4672"/>
    <w:rsid w:val="00AE4F4A"/>
    <w:rsid w:val="00B02745"/>
    <w:rsid w:val="00B11569"/>
    <w:rsid w:val="00B25AF2"/>
    <w:rsid w:val="00B30907"/>
    <w:rsid w:val="00B31EA1"/>
    <w:rsid w:val="00B356CF"/>
    <w:rsid w:val="00B465C8"/>
    <w:rsid w:val="00B52D8C"/>
    <w:rsid w:val="00B55E09"/>
    <w:rsid w:val="00B72218"/>
    <w:rsid w:val="00B8108B"/>
    <w:rsid w:val="00B824DD"/>
    <w:rsid w:val="00B84A20"/>
    <w:rsid w:val="00B96D02"/>
    <w:rsid w:val="00BA0012"/>
    <w:rsid w:val="00BA4DB8"/>
    <w:rsid w:val="00BB2C05"/>
    <w:rsid w:val="00BB7107"/>
    <w:rsid w:val="00BC6F9F"/>
    <w:rsid w:val="00BE1AE7"/>
    <w:rsid w:val="00BF1D53"/>
    <w:rsid w:val="00BF1FE4"/>
    <w:rsid w:val="00BF2082"/>
    <w:rsid w:val="00BF28BD"/>
    <w:rsid w:val="00BF6779"/>
    <w:rsid w:val="00C10143"/>
    <w:rsid w:val="00C26726"/>
    <w:rsid w:val="00C27AE8"/>
    <w:rsid w:val="00C30932"/>
    <w:rsid w:val="00C6066D"/>
    <w:rsid w:val="00C612F6"/>
    <w:rsid w:val="00C61953"/>
    <w:rsid w:val="00C63606"/>
    <w:rsid w:val="00C6731A"/>
    <w:rsid w:val="00C71BD7"/>
    <w:rsid w:val="00C84353"/>
    <w:rsid w:val="00C94BCB"/>
    <w:rsid w:val="00CB0079"/>
    <w:rsid w:val="00CB0513"/>
    <w:rsid w:val="00CC3817"/>
    <w:rsid w:val="00CE30BE"/>
    <w:rsid w:val="00CE45BF"/>
    <w:rsid w:val="00CF7CAE"/>
    <w:rsid w:val="00D00354"/>
    <w:rsid w:val="00D33430"/>
    <w:rsid w:val="00D3496E"/>
    <w:rsid w:val="00D5306F"/>
    <w:rsid w:val="00D67D13"/>
    <w:rsid w:val="00D748F5"/>
    <w:rsid w:val="00D827A9"/>
    <w:rsid w:val="00D84438"/>
    <w:rsid w:val="00D955AA"/>
    <w:rsid w:val="00DA1221"/>
    <w:rsid w:val="00DB0769"/>
    <w:rsid w:val="00DB6642"/>
    <w:rsid w:val="00DC0E0F"/>
    <w:rsid w:val="00DC5A6E"/>
    <w:rsid w:val="00DD1413"/>
    <w:rsid w:val="00DE01D0"/>
    <w:rsid w:val="00DE2115"/>
    <w:rsid w:val="00DE6D14"/>
    <w:rsid w:val="00DF1338"/>
    <w:rsid w:val="00DF637D"/>
    <w:rsid w:val="00E035BC"/>
    <w:rsid w:val="00E10933"/>
    <w:rsid w:val="00E179AC"/>
    <w:rsid w:val="00E26E1E"/>
    <w:rsid w:val="00E30E64"/>
    <w:rsid w:val="00E32E90"/>
    <w:rsid w:val="00E40C34"/>
    <w:rsid w:val="00E4105C"/>
    <w:rsid w:val="00E42886"/>
    <w:rsid w:val="00E56576"/>
    <w:rsid w:val="00E60F39"/>
    <w:rsid w:val="00E6102B"/>
    <w:rsid w:val="00E62EB2"/>
    <w:rsid w:val="00E703AF"/>
    <w:rsid w:val="00E950AD"/>
    <w:rsid w:val="00EA0AF3"/>
    <w:rsid w:val="00EA1C4C"/>
    <w:rsid w:val="00EB26E7"/>
    <w:rsid w:val="00EB541D"/>
    <w:rsid w:val="00EC2E7C"/>
    <w:rsid w:val="00EC2E9F"/>
    <w:rsid w:val="00ED171C"/>
    <w:rsid w:val="00ED2D54"/>
    <w:rsid w:val="00ED5F0F"/>
    <w:rsid w:val="00EF5312"/>
    <w:rsid w:val="00F036F0"/>
    <w:rsid w:val="00F123C0"/>
    <w:rsid w:val="00F258F2"/>
    <w:rsid w:val="00F26786"/>
    <w:rsid w:val="00F36FD8"/>
    <w:rsid w:val="00F433A6"/>
    <w:rsid w:val="00F72B5A"/>
    <w:rsid w:val="00F72B88"/>
    <w:rsid w:val="00F927B7"/>
    <w:rsid w:val="00FA1E18"/>
    <w:rsid w:val="00FC5538"/>
    <w:rsid w:val="00FC6AA0"/>
    <w:rsid w:val="00FE30E0"/>
    <w:rsid w:val="00FE7E1E"/>
    <w:rsid w:val="00FF2A90"/>
    <w:rsid w:val="12A67260"/>
    <w:rsid w:val="287E6427"/>
    <w:rsid w:val="2BE73693"/>
    <w:rsid w:val="2EDB7CF6"/>
    <w:rsid w:val="2EFD6714"/>
    <w:rsid w:val="32172AF1"/>
    <w:rsid w:val="3EAC5373"/>
    <w:rsid w:val="41CA1CCD"/>
    <w:rsid w:val="44E458D3"/>
    <w:rsid w:val="4A604DBC"/>
    <w:rsid w:val="4BDE2503"/>
    <w:rsid w:val="4EF25C23"/>
    <w:rsid w:val="5A4F5627"/>
    <w:rsid w:val="769E4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Hyperlink"/>
    <w:basedOn w:val="8"/>
    <w:semiHidden/>
    <w:unhideWhenUsed/>
    <w:qFormat/>
    <w:uiPriority w:val="99"/>
    <w:rPr>
      <w:color w:val="0563C1"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批注文字 Char"/>
    <w:basedOn w:val="8"/>
    <w:link w:val="2"/>
    <w:semiHidden/>
    <w:qFormat/>
    <w:uiPriority w:val="99"/>
  </w:style>
  <w:style w:type="character" w:customStyle="1" w:styleId="15">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7B1F43-6849-4183-BFA3-F71FD4E0B0A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108</Words>
  <Characters>618</Characters>
  <Lines>5</Lines>
  <Paragraphs>1</Paragraphs>
  <TotalTime>1</TotalTime>
  <ScaleCrop>false</ScaleCrop>
  <LinksUpToDate>false</LinksUpToDate>
  <CharactersWithSpaces>725</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2021-03-26T07:16:00Z</dcterms:created>
  <dc:creator>毕楹</dc:creator>
  <cp:lastModifiedBy>丁毅</cp:lastModifiedBy>
  <cp:lastPrinted>2021-03-26T09:59:00Z</cp:lastPrinted>
  <dcterms:modified xsi:type="dcterms:W3CDTF">2025-05-15T07:47:35Z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