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【稳添利最短持有期日开固收类】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bookmarkStart w:id="0" w:name="file_year"/>
      <w:bookmarkEnd w:id="0"/>
      <w:r>
        <w:rPr>
          <w:rStyle w:val="27"/>
          <w:rFonts w:hint="eastAsia" w:ascii="宋体" w:hAnsi="宋体" w:cs="Times New Roman"/>
          <w:sz w:val="32"/>
          <w:szCs w:val="32"/>
          <w:lang w:eastAsia="zh-CN"/>
        </w:rPr>
        <w:t>2025</w:t>
      </w:r>
      <w:r>
        <w:rPr>
          <w:rStyle w:val="27"/>
          <w:rFonts w:hint="eastAsia" w:ascii="宋体" w:hAnsi="宋体" w:cs="Times New Roman"/>
          <w:sz w:val="32"/>
          <w:szCs w:val="32"/>
        </w:rPr>
        <w:t>】年【</w:t>
      </w:r>
      <w:bookmarkStart w:id="1" w:name="file_month"/>
      <w:bookmarkEnd w:id="1"/>
      <w:r>
        <w:rPr>
          <w:rStyle w:val="27"/>
          <w:rFonts w:hint="eastAsia" w:ascii="宋体" w:hAnsi="宋体" w:cs="Times New Roman"/>
          <w:sz w:val="32"/>
          <w:szCs w:val="32"/>
          <w:lang w:val="en-US" w:eastAsia="zh-CN"/>
        </w:rPr>
        <w:t>11</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2" w:name="_Toc78276587"/>
          <w:permStart w:id="2" w:edGrp="everyone"/>
          <w:r>
            <w:rPr>
              <w:lang w:val="zh-CN"/>
            </w:rPr>
            <w:t>目录</w:t>
          </w:r>
        </w:p>
        <w:p>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"_Toc32762"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_Toc32762 \h </w:instrText>
          </w:r>
          <w:r>
            <w:fldChar w:fldCharType="separate"/>
          </w:r>
          <w:r>
            <w:t>3</w:t>
          </w:r>
          <w:r>
            <w:fldChar w:fldCharType="end"/>
          </w:r>
          <w:r>
            <w:fldChar w:fldCharType="end"/>
          </w:r>
        </w:p>
        <w:p>
          <w:pPr>
            <w:pStyle w:val="16"/>
            <w:tabs>
              <w:tab w:val="right" w:leader="dot" w:pos="8306"/>
            </w:tabs>
          </w:pPr>
          <w:r>
            <w:fldChar w:fldCharType="begin"/>
          </w:r>
          <w:r>
            <w:instrText xml:space="preserve"> HYPERLINK \l "_Toc1693" </w:instrText>
          </w:r>
          <w:r>
            <w:fldChar w:fldCharType="separate"/>
          </w:r>
          <w:r>
            <w:rPr>
              <w:rFonts w:hint="eastAsia" w:hAnsi="宋体"/>
              <w:szCs w:val="28"/>
            </w:rPr>
            <w:t xml:space="preserve">第二条  理财产品基本情况 </w:t>
          </w:r>
          <w:r>
            <w:tab/>
          </w:r>
          <w:r>
            <w:fldChar w:fldCharType="begin"/>
          </w:r>
          <w:r>
            <w:instrText xml:space="preserve"> PAGEREF _Toc1693 \h </w:instrText>
          </w:r>
          <w:r>
            <w:fldChar w:fldCharType="separate"/>
          </w:r>
          <w:r>
            <w:t>8</w:t>
          </w:r>
          <w:r>
            <w:fldChar w:fldCharType="end"/>
          </w:r>
          <w:r>
            <w:fldChar w:fldCharType="end"/>
          </w:r>
        </w:p>
        <w:p>
          <w:pPr>
            <w:pStyle w:val="16"/>
            <w:tabs>
              <w:tab w:val="right" w:leader="dot" w:pos="8306"/>
            </w:tabs>
          </w:pPr>
          <w:r>
            <w:fldChar w:fldCharType="begin"/>
          </w:r>
          <w:r>
            <w:instrText xml:space="preserve"> HYPERLINK \l "_Toc10659"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_Toc10659 \h </w:instrText>
          </w:r>
          <w:r>
            <w:fldChar w:fldCharType="separate"/>
          </w:r>
          <w:r>
            <w:t>14</w:t>
          </w:r>
          <w:r>
            <w:fldChar w:fldCharType="end"/>
          </w:r>
          <w:r>
            <w:fldChar w:fldCharType="end"/>
          </w:r>
        </w:p>
        <w:p>
          <w:pPr>
            <w:pStyle w:val="16"/>
            <w:tabs>
              <w:tab w:val="right" w:leader="dot" w:pos="8306"/>
            </w:tabs>
          </w:pPr>
          <w:r>
            <w:fldChar w:fldCharType="begin"/>
          </w:r>
          <w:r>
            <w:instrText xml:space="preserve"> HYPERLINK \l "_Toc32177"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_Toc32177 \h </w:instrText>
          </w:r>
          <w:r>
            <w:fldChar w:fldCharType="separate"/>
          </w:r>
          <w:r>
            <w:t>16</w:t>
          </w:r>
          <w:r>
            <w:fldChar w:fldCharType="end"/>
          </w:r>
          <w:r>
            <w:fldChar w:fldCharType="end"/>
          </w:r>
        </w:p>
        <w:p>
          <w:pPr>
            <w:pStyle w:val="16"/>
            <w:tabs>
              <w:tab w:val="right" w:leader="dot" w:pos="8306"/>
            </w:tabs>
          </w:pPr>
          <w:r>
            <w:fldChar w:fldCharType="begin"/>
          </w:r>
          <w:r>
            <w:instrText xml:space="preserve"> HYPERLINK \l "_Toc25685"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_Toc25685 \h </w:instrText>
          </w:r>
          <w:r>
            <w:fldChar w:fldCharType="separate"/>
          </w:r>
          <w:r>
            <w:t>20</w:t>
          </w:r>
          <w:r>
            <w:fldChar w:fldCharType="end"/>
          </w:r>
          <w:r>
            <w:fldChar w:fldCharType="end"/>
          </w:r>
        </w:p>
        <w:p>
          <w:pPr>
            <w:pStyle w:val="16"/>
            <w:tabs>
              <w:tab w:val="right" w:leader="dot" w:pos="8306"/>
            </w:tabs>
          </w:pPr>
          <w:r>
            <w:fldChar w:fldCharType="begin"/>
          </w:r>
          <w:r>
            <w:instrText xml:space="preserve"> HYPERLINK \l "_Toc31087"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_Toc31087 \h </w:instrText>
          </w:r>
          <w:r>
            <w:fldChar w:fldCharType="separate"/>
          </w:r>
          <w:r>
            <w:t>23</w:t>
          </w:r>
          <w:r>
            <w:fldChar w:fldCharType="end"/>
          </w:r>
          <w:r>
            <w:fldChar w:fldCharType="end"/>
          </w:r>
        </w:p>
        <w:p>
          <w:pPr>
            <w:pStyle w:val="16"/>
            <w:tabs>
              <w:tab w:val="right" w:leader="dot" w:pos="8306"/>
            </w:tabs>
          </w:pPr>
          <w:r>
            <w:fldChar w:fldCharType="begin"/>
          </w:r>
          <w:r>
            <w:instrText xml:space="preserve"> HYPERLINK \l "_Toc19132"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_Toc19132 \h </w:instrText>
          </w:r>
          <w:r>
            <w:fldChar w:fldCharType="separate"/>
          </w:r>
          <w:r>
            <w:t>24</w:t>
          </w:r>
          <w:r>
            <w:fldChar w:fldCharType="end"/>
          </w:r>
          <w:r>
            <w:fldChar w:fldCharType="end"/>
          </w:r>
        </w:p>
        <w:p>
          <w:pPr>
            <w:pStyle w:val="16"/>
            <w:tabs>
              <w:tab w:val="right" w:leader="dot" w:pos="8306"/>
            </w:tabs>
          </w:pPr>
          <w:r>
            <w:fldChar w:fldCharType="begin"/>
          </w:r>
          <w:r>
            <w:instrText xml:space="preserve"> HYPERLINK \l "_Toc8695"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_Toc8695 \h </w:instrText>
          </w:r>
          <w:r>
            <w:fldChar w:fldCharType="separate"/>
          </w:r>
          <w:r>
            <w:t>28</w:t>
          </w:r>
          <w:r>
            <w:fldChar w:fldCharType="end"/>
          </w:r>
          <w:r>
            <w:fldChar w:fldCharType="end"/>
          </w:r>
        </w:p>
        <w:p>
          <w:pPr>
            <w:pStyle w:val="16"/>
            <w:tabs>
              <w:tab w:val="right" w:leader="dot" w:pos="8306"/>
            </w:tabs>
          </w:pPr>
          <w:r>
            <w:fldChar w:fldCharType="begin"/>
          </w:r>
          <w:r>
            <w:instrText xml:space="preserve"> HYPERLINK \l "_Toc1043"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_Toc1043 \h </w:instrText>
          </w:r>
          <w:r>
            <w:fldChar w:fldCharType="separate"/>
          </w:r>
          <w:r>
            <w:t>29</w:t>
          </w:r>
          <w:r>
            <w:fldChar w:fldCharType="end"/>
          </w:r>
          <w:r>
            <w:fldChar w:fldCharType="end"/>
          </w:r>
        </w:p>
        <w:p>
          <w:pPr>
            <w:pStyle w:val="16"/>
            <w:tabs>
              <w:tab w:val="right" w:leader="dot" w:pos="8306"/>
            </w:tabs>
          </w:pPr>
          <w:r>
            <w:fldChar w:fldCharType="begin"/>
          </w:r>
          <w:r>
            <w:instrText xml:space="preserve"> HYPERLINK \l "_Toc2757"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_Toc2757 \h </w:instrText>
          </w:r>
          <w:r>
            <w:fldChar w:fldCharType="separate"/>
          </w:r>
          <w:r>
            <w:t>32</w:t>
          </w:r>
          <w:r>
            <w:fldChar w:fldCharType="end"/>
          </w:r>
          <w:r>
            <w:fldChar w:fldCharType="end"/>
          </w:r>
        </w:p>
        <w:p>
          <w:pPr>
            <w:pStyle w:val="16"/>
            <w:tabs>
              <w:tab w:val="right" w:leader="dot" w:pos="8306"/>
            </w:tabs>
          </w:pPr>
          <w:r>
            <w:fldChar w:fldCharType="begin"/>
          </w:r>
          <w:r>
            <w:instrText xml:space="preserve"> HYPERLINK \l "_Toc593"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_Toc593 \h </w:instrText>
          </w:r>
          <w:r>
            <w:fldChar w:fldCharType="separate"/>
          </w:r>
          <w:r>
            <w:t>34</w:t>
          </w:r>
          <w:r>
            <w:fldChar w:fldCharType="end"/>
          </w:r>
          <w:r>
            <w:fldChar w:fldCharType="end"/>
          </w:r>
        </w:p>
        <w:p>
          <w:pPr>
            <w:pStyle w:val="16"/>
            <w:tabs>
              <w:tab w:val="right" w:leader="dot" w:pos="8306"/>
            </w:tabs>
          </w:pPr>
          <w:r>
            <w:fldChar w:fldCharType="begin"/>
          </w:r>
          <w:r>
            <w:instrText xml:space="preserve"> HYPERLINK \l "_Toc184"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_Toc184 \h </w:instrText>
          </w:r>
          <w:r>
            <w:fldChar w:fldCharType="separate"/>
          </w:r>
          <w:r>
            <w:t>36</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3" w:name="_Toc92377130"/>
      <w:bookmarkStart w:id="4" w:name="_Toc26572"/>
      <w:bookmarkStart w:id="5" w:name="_Toc29814"/>
      <w:bookmarkStart w:id="6" w:name="_Toc32762"/>
      <w:r>
        <w:rPr>
          <w:rFonts w:ascii="Times New Roman"/>
          <w:sz w:val="30"/>
        </w:rPr>
        <w:t>第</w:t>
      </w:r>
      <w:r>
        <w:rPr>
          <w:rFonts w:hint="eastAsia" w:ascii="Times New Roman"/>
          <w:sz w:val="30"/>
        </w:rPr>
        <w:t xml:space="preserve">一条 </w:t>
      </w:r>
      <w:r>
        <w:rPr>
          <w:rFonts w:ascii="Times New Roman"/>
          <w:sz w:val="30"/>
        </w:rPr>
        <w:t xml:space="preserve"> 释义</w:t>
      </w:r>
      <w:bookmarkEnd w:id="2"/>
      <w:bookmarkEnd w:id="3"/>
      <w:bookmarkEnd w:id="4"/>
      <w:bookmarkEnd w:id="5"/>
      <w:bookmarkEnd w:id="6"/>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【稳添利最短持有期日开固收类】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【稳添利最短持有期日开固收类】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【稳添利最短持有期日开固收类】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【稳添利最短持有期日开固收类】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【稳添利最短持有期日开固收类】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【稳添利最短持有期日开固收类】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【稳添利最短持有期日开固收类】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【稳添利最短持有期日开固收类】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【稳添利最短持有期日开固收类】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（20）巨额赎回：每个赎回日，本产品的净赎回申请（赎回申请份额总数扣除申购申请份额总数后的余额,下同）之和达到上一赎回日产品总份额的约定百分比，为巨额赎回。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7" w:name="_Toc79154665"/>
      <w:bookmarkStart w:id="8" w:name="_Toc92377131"/>
      <w:bookmarkStart w:id="9" w:name="_Toc30087"/>
      <w:bookmarkStart w:id="10" w:name="_Toc14559"/>
      <w:bookmarkStart w:id="11" w:name="_Toc1693"/>
      <w:r>
        <w:rPr>
          <w:rFonts w:hint="eastAsia" w:hAnsi="宋体"/>
          <w:sz w:val="28"/>
          <w:szCs w:val="28"/>
        </w:rPr>
        <w:t>第二条  理财产品基本情况</w:t>
      </w:r>
      <w:bookmarkEnd w:id="7"/>
      <w:bookmarkEnd w:id="8"/>
      <w:r>
        <w:rPr>
          <w:rFonts w:hint="eastAsia" w:hAnsi="宋体"/>
          <w:sz w:val="28"/>
          <w:szCs w:val="28"/>
        </w:rPr>
        <w:t xml:space="preserve"> </w:t>
      </w:r>
      <w:bookmarkEnd w:id="9"/>
      <w:bookmarkEnd w:id="10"/>
      <w:bookmarkEnd w:id="11"/>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vAlign w:val="top"/>
          </w:tcPr>
          <w:p>
            <w:pPr>
              <w:spacing w:line="360" w:lineRule="auto"/>
              <w:jc w:val="left"/>
              <w:rPr>
                <w:rFonts w:ascii="宋体" w:hAnsi="宋体"/>
                <w:bCs/>
                <w:sz w:val="18"/>
                <w:szCs w:val="18"/>
              </w:rPr>
            </w:pPr>
            <w:r>
              <w:rPr>
                <w:rFonts w:hint="eastAsia" w:ascii="宋体" w:hAnsi="宋体"/>
                <w:sz w:val="18"/>
                <w:szCs w:val="18"/>
              </w:rPr>
              <w:t>【</w:t>
            </w:r>
            <w:r>
              <w:rPr>
                <w:rFonts w:hint="eastAsia" w:ascii="宋体" w:hAnsi="宋体"/>
                <w:sz w:val="18"/>
                <w:szCs w:val="18"/>
                <w:lang w:eastAsia="zh-CN"/>
              </w:rPr>
              <w:t>兴银理财稳添利月盈73号(1个月最短持有期)日开固收类理财产品</w:t>
            </w:r>
            <w:r>
              <w:rPr>
                <w:rFonts w:hint="eastAsia"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hint="eastAsia" w:ascii="宋体" w:hAnsi="宋体" w:eastAsia="宋体"/>
                <w:kern w:val="0"/>
                <w:sz w:val="18"/>
                <w:szCs w:val="18"/>
                <w:lang w:eastAsia="zh-CN"/>
              </w:rPr>
            </w:pPr>
            <w:bookmarkStart w:id="12" w:name="sale_name"/>
            <w:bookmarkEnd w:id="12"/>
            <w:r>
              <w:rPr>
                <w:rFonts w:hint="eastAsia" w:ascii="宋体" w:hAnsi="宋体"/>
                <w:sz w:val="18"/>
                <w:szCs w:val="18"/>
                <w:lang w:eastAsia="zh-CN"/>
              </w:rPr>
              <w:t>【稳添利月盈增利73号B】（适用【</w:t>
            </w:r>
            <w:r>
              <w:rPr>
                <w:rFonts w:hint="eastAsia" w:ascii="宋体" w:hAnsi="宋体"/>
                <w:sz w:val="18"/>
                <w:szCs w:val="18"/>
                <w:lang w:val="en-US" w:eastAsia="zh-CN"/>
              </w:rPr>
              <w:t>B</w:t>
            </w:r>
            <w:r>
              <w:rPr>
                <w:rFonts w:hint="eastAsia" w:ascii="宋体" w:hAnsi="宋体"/>
                <w:sz w:val="18"/>
                <w:szCs w:val="18"/>
                <w:lang w:eastAsia="zh-CN"/>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vAlign w:val="top"/>
          </w:tcPr>
          <w:p>
            <w:pPr>
              <w:spacing w:line="360" w:lineRule="auto"/>
              <w:jc w:val="left"/>
              <w:rPr>
                <w:rFonts w:ascii="宋体" w:hAnsi="宋体"/>
                <w:b/>
                <w:sz w:val="18"/>
                <w:szCs w:val="18"/>
              </w:rPr>
            </w:pPr>
            <w:r>
              <w:rPr>
                <w:rFonts w:hint="eastAsia" w:ascii="宋体" w:hAnsi="宋体"/>
                <w:sz w:val="18"/>
                <w:szCs w:val="18"/>
              </w:rPr>
              <w:t>【</w:t>
            </w:r>
            <w:r>
              <w:rPr>
                <w:rFonts w:hint="eastAsia" w:ascii="宋体" w:hAnsi="宋体"/>
                <w:sz w:val="18"/>
                <w:szCs w:val="18"/>
                <w:lang w:eastAsia="zh-CN"/>
              </w:rPr>
              <w:t>Z7002025001399</w:t>
            </w:r>
            <w:r>
              <w:rPr>
                <w:rFonts w:hint="eastAsia" w:ascii="宋体" w:hAnsi="宋体"/>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color w:val="000000" w:themeColor="text1"/>
                <w:sz w:val="18"/>
                <w:szCs w:val="18"/>
                <w14:textFill>
                  <w14:solidFill>
                    <w14:schemeClr w14:val="tx1"/>
                  </w14:solidFill>
                </w14:textFill>
              </w:rPr>
              <w:t>【</w:t>
            </w:r>
            <w:r>
              <w:rPr>
                <w:rFonts w:hint="eastAsia" w:ascii="宋体" w:hAnsi="宋体"/>
                <w:color w:val="000000" w:themeColor="text1"/>
                <w:sz w:val="18"/>
                <w:szCs w:val="18"/>
                <w:lang w:eastAsia="zh-CN"/>
                <w14:textFill>
                  <w14:solidFill>
                    <w14:schemeClr w14:val="tx1"/>
                  </w14:solidFill>
                </w14:textFill>
              </w:rPr>
              <w:t>9K430730</w:t>
            </w:r>
            <w:r>
              <w:rPr>
                <w:rFonts w:ascii="宋体" w:hAnsi="宋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hint="eastAsia" w:ascii="宋体" w:hAnsi="宋体" w:eastAsia="宋体"/>
                <w:sz w:val="18"/>
                <w:szCs w:val="18"/>
                <w:lang w:eastAsia="zh-CN"/>
              </w:rPr>
            </w:pPr>
            <w:bookmarkStart w:id="13" w:name="sale_code"/>
            <w:bookmarkEnd w:id="13"/>
            <w:r>
              <w:rPr>
                <w:rFonts w:hint="eastAsia" w:ascii="宋体" w:hAnsi="宋体"/>
                <w:color w:val="000000" w:themeColor="text1"/>
                <w:sz w:val="18"/>
                <w:szCs w:val="18"/>
                <w:lang w:eastAsia="zh-CN"/>
                <w14:textFill>
                  <w14:solidFill>
                    <w14:schemeClr w14:val="tx1"/>
                  </w14:solidFill>
                </w14:textFill>
              </w:rPr>
              <w:t>【9K43073B】（适用【</w:t>
            </w:r>
            <w:r>
              <w:rPr>
                <w:rFonts w:hint="eastAsia" w:ascii="宋体" w:hAnsi="宋体"/>
                <w:color w:val="000000" w:themeColor="text1"/>
                <w:sz w:val="18"/>
                <w:szCs w:val="18"/>
                <w:lang w:val="en-US" w:eastAsia="zh-CN"/>
                <w14:textFill>
                  <w14:solidFill>
                    <w14:schemeClr w14:val="tx1"/>
                  </w14:solidFill>
                </w14:textFill>
              </w:rPr>
              <w:t>B</w:t>
            </w:r>
            <w:r>
              <w:rPr>
                <w:rFonts w:hint="eastAsia" w:ascii="宋体" w:hAnsi="宋体"/>
                <w:color w:val="000000" w:themeColor="text1"/>
                <w:sz w:val="18"/>
                <w:szCs w:val="18"/>
                <w:lang w:eastAsia="zh-CN"/>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Cs/>
                <w:sz w:val="18"/>
                <w:szCs w:val="18"/>
              </w:rPr>
            </w:pPr>
            <w:r>
              <w:rPr>
                <w:rFonts w:hint="eastAsia" w:ascii="黑体" w:hAnsi="黑体" w:eastAsia="黑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非保本浮动收益</w:t>
            </w:r>
          </w:p>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r>
              <w:rPr>
                <w:rFonts w:hint="eastAsia" w:hAnsi="宋体"/>
                <w:sz w:val="18"/>
                <w:szCs w:val="18"/>
              </w:rPr>
              <w:t>（</w:t>
            </w:r>
            <w:r>
              <w:rPr>
                <w:rFonts w:hint="eastAsia" w:hAnsi="宋体"/>
                <w:sz w:val="18"/>
                <w:szCs w:val="18"/>
                <w:lang w:eastAsia="zh-CN"/>
              </w:rPr>
              <w:t>适用【B】类份额</w:t>
            </w:r>
            <w:r>
              <w:rPr>
                <w:rFonts w:hint="eastAsia" w:hAnsi="宋体"/>
                <w:sz w:val="18"/>
                <w:szCs w:val="18"/>
              </w:rPr>
              <w:t>）</w:t>
            </w:r>
          </w:p>
          <w:p>
            <w:pPr>
              <w:spacing w:line="360" w:lineRule="auto"/>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14" w:name="per_inv"/>
            <w:bookmarkEnd w:id="14"/>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w:t>
            </w:r>
          </w:p>
          <w:p>
            <w:pPr>
              <w:spacing w:line="360" w:lineRule="auto"/>
              <w:rPr>
                <w:rFonts w:hint="eastAsia" w:asciiTheme="majorEastAsia" w:hAnsiTheme="majorEastAsia" w:eastAsiaTheme="majorEastAsia"/>
                <w:bCs/>
                <w:sz w:val="18"/>
                <w:szCs w:val="18"/>
                <w:lang w:eastAsia="zh-CN"/>
              </w:rPr>
            </w:pPr>
            <w:bookmarkStart w:id="15" w:name="ins_inv"/>
            <w:bookmarkEnd w:id="15"/>
            <w:r>
              <w:rPr>
                <w:rFonts w:hint="eastAsia" w:asciiTheme="majorEastAsia" w:hAnsiTheme="majorEastAsia" w:eastAsiaTheme="majorEastAsia"/>
                <w:bCs/>
                <w:sz w:val="18"/>
                <w:szCs w:val="18"/>
                <w:lang w:eastAsia="zh-CN"/>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bookmarkStart w:id="16" w:name="pro_size"/>
            <w:bookmarkEnd w:id="16"/>
            <w:bookmarkStart w:id="215" w:name="_GoBack"/>
            <w:r>
              <w:rPr>
                <w:rFonts w:hint="eastAsia" w:asciiTheme="majorEastAsia" w:hAnsiTheme="majorEastAsia" w:eastAsiaTheme="majorEastAsia"/>
                <w:bCs/>
                <w:sz w:val="18"/>
                <w:szCs w:val="18"/>
                <w:lang w:val="en-US" w:eastAsia="zh-CN"/>
              </w:rPr>
              <w:t>0.6</w:t>
            </w:r>
            <w:bookmarkEnd w:id="215"/>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bookmarkStart w:id="17" w:name="buy_begin"/>
            <w:bookmarkEnd w:id="17"/>
            <w:r>
              <w:rPr>
                <w:rFonts w:hint="eastAsia" w:asciiTheme="minorEastAsia" w:hAnsiTheme="minorEastAsia"/>
                <w:bCs/>
                <w:sz w:val="18"/>
                <w:szCs w:val="18"/>
                <w:lang w:eastAsia="zh-CN"/>
              </w:rPr>
              <w:t>【2025】年【</w:t>
            </w:r>
            <w:r>
              <w:rPr>
                <w:rFonts w:hint="eastAsia" w:asciiTheme="minorEastAsia" w:hAnsiTheme="minorEastAsia"/>
                <w:bCs/>
                <w:sz w:val="18"/>
                <w:szCs w:val="18"/>
                <w:lang w:val="en-US" w:eastAsia="zh-CN"/>
              </w:rPr>
              <w:t>11</w:t>
            </w:r>
            <w:r>
              <w:rPr>
                <w:rFonts w:hint="eastAsia" w:asciiTheme="minorEastAsia" w:hAnsiTheme="minorEastAsia"/>
                <w:bCs/>
                <w:sz w:val="18"/>
                <w:szCs w:val="18"/>
                <w:lang w:eastAsia="zh-CN"/>
              </w:rPr>
              <w:t>】月【5】日</w:t>
            </w:r>
            <w:r>
              <w:rPr>
                <w:rFonts w:hint="eastAsia" w:cs="Times New Roman" w:asciiTheme="minorEastAsia" w:hAnsiTheme="minorEastAsia"/>
                <w:sz w:val="18"/>
                <w:szCs w:val="18"/>
              </w:rPr>
              <w:t>【9:00】</w:t>
            </w:r>
            <w:r>
              <w:rPr>
                <w:rFonts w:hint="eastAsia" w:cs="仿宋_GB2312" w:asciiTheme="minorEastAsia" w:hAnsiTheme="minorEastAsia"/>
                <w:sz w:val="18"/>
                <w:szCs w:val="18"/>
              </w:rPr>
              <w:t>至</w:t>
            </w:r>
            <w:bookmarkStart w:id="18" w:name="buy_end"/>
            <w:bookmarkEnd w:id="18"/>
            <w:r>
              <w:rPr>
                <w:rFonts w:hint="eastAsia" w:cs="仿宋_GB2312" w:asciiTheme="minorEastAsia" w:hAnsiTheme="minorEastAsia"/>
                <w:sz w:val="18"/>
                <w:szCs w:val="18"/>
                <w:lang w:eastAsia="zh-CN"/>
              </w:rPr>
              <w:t>【2025】年【</w:t>
            </w:r>
            <w:r>
              <w:rPr>
                <w:rFonts w:hint="eastAsia" w:cs="仿宋_GB2312" w:asciiTheme="minorEastAsia" w:hAnsiTheme="minorEastAsia"/>
                <w:sz w:val="18"/>
                <w:szCs w:val="18"/>
                <w:lang w:val="en-US" w:eastAsia="zh-CN"/>
              </w:rPr>
              <w:t>11</w:t>
            </w:r>
            <w:r>
              <w:rPr>
                <w:rFonts w:hint="eastAsia" w:cs="仿宋_GB2312" w:asciiTheme="minorEastAsia" w:hAnsiTheme="minorEastAsia"/>
                <w:sz w:val="18"/>
                <w:szCs w:val="18"/>
                <w:lang w:eastAsia="zh-CN"/>
              </w:rPr>
              <w:t>】月【</w:t>
            </w:r>
            <w:r>
              <w:rPr>
                <w:rFonts w:hint="eastAsia" w:cs="仿宋_GB2312" w:asciiTheme="minorEastAsia" w:hAnsiTheme="minorEastAsia"/>
                <w:sz w:val="18"/>
                <w:szCs w:val="18"/>
                <w:lang w:val="en-US" w:eastAsia="zh-CN"/>
              </w:rPr>
              <w:t>6</w:t>
            </w:r>
            <w:r>
              <w:rPr>
                <w:rFonts w:hint="eastAsia" w:cs="仿宋_GB2312" w:asciiTheme="minorEastAsia" w:hAnsiTheme="minorEastAsia"/>
                <w:sz w:val="18"/>
                <w:szCs w:val="18"/>
                <w:lang w:eastAsia="zh-CN"/>
              </w:rPr>
              <w:t>】日</w:t>
            </w:r>
            <w:r>
              <w:rPr>
                <w:rFonts w:hint="eastAsia" w:asciiTheme="majorEastAsia" w:hAnsiTheme="majorEastAsia" w:eastAsiaTheme="majorEastAsia"/>
                <w:sz w:val="18"/>
                <w:szCs w:val="18"/>
              </w:rPr>
              <w:t>【</w:t>
            </w:r>
            <w:bookmarkStart w:id="19" w:name="trade_end1"/>
            <w:bookmarkEnd w:id="19"/>
            <w:r>
              <w:rPr>
                <w:rFonts w:hint="eastAsia" w:asciiTheme="majorEastAsia" w:hAnsiTheme="majorEastAsia" w:eastAsiaTheme="majorEastAsia"/>
                <w:sz w:val="18"/>
                <w:szCs w:val="18"/>
                <w:lang w:eastAsia="zh-CN"/>
              </w:rPr>
              <w:t>15:45</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bookmarkStart w:id="20" w:name="pro_start"/>
            <w:bookmarkEnd w:id="20"/>
            <w:r>
              <w:rPr>
                <w:rFonts w:hint="eastAsia" w:asciiTheme="minorEastAsia" w:hAnsiTheme="minorEastAsia"/>
                <w:bCs/>
                <w:sz w:val="18"/>
                <w:szCs w:val="18"/>
                <w:lang w:eastAsia="zh-CN"/>
              </w:rPr>
              <w:t>【2025】年【</w:t>
            </w:r>
            <w:r>
              <w:rPr>
                <w:rFonts w:hint="eastAsia" w:asciiTheme="minorEastAsia" w:hAnsiTheme="minorEastAsia"/>
                <w:bCs/>
                <w:sz w:val="18"/>
                <w:szCs w:val="18"/>
                <w:lang w:val="en-US" w:eastAsia="zh-CN"/>
              </w:rPr>
              <w:t>11</w:t>
            </w:r>
            <w:r>
              <w:rPr>
                <w:rFonts w:hint="eastAsia" w:asciiTheme="minorEastAsia" w:hAnsiTheme="minorEastAsia"/>
                <w:bCs/>
                <w:sz w:val="18"/>
                <w:szCs w:val="18"/>
                <w:lang w:eastAsia="zh-CN"/>
              </w:rPr>
              <w:t>】月【</w:t>
            </w:r>
            <w:r>
              <w:rPr>
                <w:rFonts w:hint="eastAsia" w:asciiTheme="minorEastAsia" w:hAnsiTheme="minorEastAsia"/>
                <w:bCs/>
                <w:sz w:val="18"/>
                <w:szCs w:val="18"/>
                <w:lang w:val="en-US" w:eastAsia="zh-CN"/>
              </w:rPr>
              <w:t>7</w:t>
            </w:r>
            <w:r>
              <w:rPr>
                <w:rFonts w:hint="eastAsia" w:asciiTheme="minorEastAsia" w:hAnsiTheme="minorEastAsia"/>
                <w:bCs/>
                <w:sz w:val="18"/>
                <w:szCs w:val="18"/>
                <w:lang w:eastAsia="zh-CN"/>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704"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本产品的开放日</w:t>
            </w:r>
          </w:p>
          <w:p>
            <w:pPr>
              <w:spacing w:line="360" w:lineRule="auto"/>
              <w:rPr>
                <w:rFonts w:asciiTheme="minorEastAsia" w:hAnsiTheme="minorEastAsia"/>
                <w:sz w:val="18"/>
                <w:szCs w:val="18"/>
              </w:rPr>
            </w:pPr>
            <w:r>
              <w:rPr>
                <w:rFonts w:hint="eastAsia" w:asciiTheme="minorEastAsia" w:hAnsiTheme="minorEastAsia"/>
                <w:sz w:val="18"/>
                <w:szCs w:val="18"/>
              </w:rPr>
              <w:t>本产品封闭期结束后的第一个工作日起每日开放（产品管理人公告暂停开放的日期除外），投资者可于开放日提交申购申请。</w:t>
            </w:r>
          </w:p>
          <w:p>
            <w:pPr>
              <w:spacing w:line="360" w:lineRule="auto"/>
              <w:rPr>
                <w:rFonts w:asciiTheme="majorEastAsia" w:hAnsiTheme="majorEastAsia" w:eastAsiaTheme="majorEastAsia"/>
                <w:bCs/>
                <w:sz w:val="18"/>
                <w:szCs w:val="18"/>
              </w:rPr>
            </w:pPr>
            <w:r>
              <w:rPr>
                <w:rFonts w:hint="eastAsia" w:asciiTheme="minorEastAsia" w:hAnsiTheme="minorEastAsia"/>
                <w:sz w:val="18"/>
                <w:szCs w:val="18"/>
              </w:rPr>
              <w:t>本产品最短持有期为【</w:t>
            </w:r>
            <w:bookmarkStart w:id="21" w:name="holdings1"/>
            <w:bookmarkEnd w:id="21"/>
            <w:r>
              <w:rPr>
                <w:rFonts w:hint="eastAsia" w:asciiTheme="minorEastAsia" w:hAnsiTheme="minorEastAsia"/>
                <w:sz w:val="18"/>
                <w:szCs w:val="18"/>
                <w:lang w:eastAsia="zh-CN"/>
              </w:rPr>
              <w:t>30</w:t>
            </w:r>
            <w:r>
              <w:rPr>
                <w:rFonts w:hint="eastAsia" w:asciiTheme="minorEastAsia" w:hAnsiTheme="minorEastAsia"/>
                <w:sz w:val="18"/>
                <w:szCs w:val="18"/>
              </w:rPr>
              <w:t>】个自然日。</w:t>
            </w:r>
            <w:r>
              <w:rPr>
                <w:rFonts w:hint="eastAsia" w:asciiTheme="majorEastAsia" w:hAnsiTheme="majorEastAsia" w:eastAsiaTheme="majorEastAsia"/>
                <w:bCs/>
                <w:sz w:val="18"/>
                <w:szCs w:val="18"/>
              </w:rPr>
              <w:t>自产品成立日/申购确认日起第【</w:t>
            </w:r>
            <w:bookmarkStart w:id="22" w:name="holdings2"/>
            <w:bookmarkEnd w:id="22"/>
            <w:r>
              <w:rPr>
                <w:rFonts w:hint="eastAsia" w:asciiTheme="majorEastAsia" w:hAnsiTheme="majorEastAsia" w:eastAsiaTheme="majorEastAsia"/>
                <w:bCs/>
                <w:sz w:val="18"/>
                <w:szCs w:val="18"/>
                <w:lang w:eastAsia="zh-CN"/>
              </w:rPr>
              <w:t>30</w:t>
            </w:r>
            <w:r>
              <w:rPr>
                <w:rFonts w:hint="eastAsia" w:asciiTheme="majorEastAsia" w:hAnsiTheme="majorEastAsia" w:eastAsiaTheme="majorEastAsia"/>
                <w:bCs/>
                <w:sz w:val="18"/>
                <w:szCs w:val="18"/>
              </w:rPr>
              <w:t>】个自然日内（不含当日）投资者不能赎回该产品份额，自产品成立日/申购确认日起第【</w:t>
            </w:r>
            <w:bookmarkStart w:id="23" w:name="holdings3"/>
            <w:bookmarkEnd w:id="23"/>
            <w:r>
              <w:rPr>
                <w:rFonts w:hint="eastAsia" w:asciiTheme="majorEastAsia" w:hAnsiTheme="majorEastAsia" w:eastAsiaTheme="majorEastAsia"/>
                <w:bCs/>
                <w:sz w:val="18"/>
                <w:szCs w:val="18"/>
                <w:lang w:eastAsia="zh-CN"/>
              </w:rPr>
              <w:t>30</w:t>
            </w:r>
            <w:r>
              <w:rPr>
                <w:rFonts w:hint="eastAsia" w:asciiTheme="majorEastAsia" w:hAnsiTheme="majorEastAsia" w:eastAsiaTheme="majorEastAsia"/>
                <w:bCs/>
                <w:sz w:val="18"/>
                <w:szCs w:val="18"/>
              </w:rPr>
              <w:t>】个自然日起（含当日），投资者</w:t>
            </w:r>
            <w:r>
              <w:rPr>
                <w:rFonts w:hint="eastAsia" w:asciiTheme="minorEastAsia" w:hAnsiTheme="minorEastAsia"/>
                <w:sz w:val="18"/>
                <w:szCs w:val="18"/>
              </w:rPr>
              <w:t>可于任一开放日</w:t>
            </w:r>
            <w:r>
              <w:rPr>
                <w:rFonts w:hint="eastAsia" w:asciiTheme="majorEastAsia" w:hAnsiTheme="majorEastAsia" w:eastAsiaTheme="majorEastAsia"/>
                <w:bCs/>
                <w:sz w:val="18"/>
                <w:szCs w:val="18"/>
              </w:rPr>
              <w:t>赎回该产品份额。</w:t>
            </w:r>
          </w:p>
          <w:p>
            <w:pPr>
              <w:spacing w:line="360" w:lineRule="auto"/>
              <w:rPr>
                <w:rFonts w:asciiTheme="minorEastAsia" w:hAnsiTheme="minorEastAsia"/>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（1）申购的时间</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4" w:name="trade_end2"/>
            <w:bookmarkEnd w:id="24"/>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前提交申购申请的，提交当日为申购日。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5" w:name="trade_end3"/>
            <w:bookmarkEnd w:id="25"/>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后提交申购申请的，下一个工作日为申购日。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投资者在非工作日提交申购申请的，下一个工作日为申购日。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申购的确认</w:t>
            </w:r>
          </w:p>
          <w:p>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产品管理人在申购日后【2】个工作日内对投资者的申购申请的有效性进行确认，并登记理财份额。</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3.赎回安排</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hint="eastAsia" w:ascii="宋体" w:hAnsi="宋体"/>
                <w:bCs/>
                <w:sz w:val="18"/>
                <w:szCs w:val="18"/>
              </w:rPr>
              <w:t>赎回的时间</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6" w:name="trade_end4"/>
            <w:bookmarkEnd w:id="26"/>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前提交</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申请的，提交当日为</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w:t>
            </w:r>
            <w:bookmarkStart w:id="27" w:name="trade_end5"/>
            <w:bookmarkEnd w:id="27"/>
            <w:r>
              <w:rPr>
                <w:rFonts w:hint="eastAsia" w:cs="Times New Roman" w:asciiTheme="minorEastAsia" w:hAnsiTheme="minorEastAsia"/>
                <w:sz w:val="18"/>
                <w:szCs w:val="18"/>
                <w:lang w:eastAsia="zh-CN"/>
              </w:rPr>
              <w:t>15:45</w:t>
            </w:r>
            <w:r>
              <w:rPr>
                <w:rFonts w:hint="eastAsia" w:cs="Times New Roman" w:asciiTheme="minorEastAsia" w:hAnsiTheme="minorEastAsia"/>
                <w:sz w:val="18"/>
                <w:szCs w:val="18"/>
              </w:rPr>
              <w:t>】</w:t>
            </w:r>
            <w:r>
              <w:rPr>
                <w:rFonts w:hint="eastAsia" w:asciiTheme="minorEastAsia" w:hAnsiTheme="minorEastAsia" w:eastAsiaTheme="minorEastAsia"/>
                <w:sz w:val="18"/>
                <w:szCs w:val="18"/>
              </w:rPr>
              <w:t>后提交</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申请的，下一个工作日为</w:t>
            </w:r>
            <w:r>
              <w:rPr>
                <w:rFonts w:hint="eastAsia" w:asciiTheme="minorEastAsia" w:hAnsiTheme="minorEastAsia" w:eastAsiaTheme="minorEastAsia"/>
                <w:sz w:val="18"/>
                <w:szCs w:val="18"/>
                <w:lang w:val="en-US" w:eastAsia="zh-CN"/>
              </w:rPr>
              <w:t>赎回</w:t>
            </w:r>
            <w:r>
              <w:rPr>
                <w:rFonts w:hint="eastAsia" w:asciiTheme="minorEastAsia" w:hAnsiTheme="minorEastAsia" w:eastAsiaTheme="minorEastAsia"/>
                <w:sz w:val="18"/>
                <w:szCs w:val="18"/>
              </w:rPr>
              <w:t>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投资者在非工作日提交赎回申请的，下一个工作日为赎回日。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（2）赎回</w:t>
            </w:r>
            <w:r>
              <w:rPr>
                <w:rFonts w:asciiTheme="minorEastAsia" w:hAnsiTheme="minorEastAsia" w:eastAsiaTheme="minorEastAsia"/>
                <w:sz w:val="18"/>
                <w:szCs w:val="18"/>
              </w:rPr>
              <w:t>的确认</w:t>
            </w:r>
          </w:p>
          <w:p>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产品管理人在赎回日后【2】个工作日内对投资者的赎回申请的有效性进行确认，并注销理财份额。</w:t>
            </w:r>
          </w:p>
          <w:p>
            <w:pPr>
              <w:spacing w:line="360" w:lineRule="auto"/>
              <w:rPr>
                <w:rFonts w:ascii="黑体" w:hAnsi="黑体" w:eastAsia="黑体" w:cs="黑体"/>
                <w:sz w:val="18"/>
                <w:szCs w:val="18"/>
              </w:rPr>
            </w:pPr>
            <w:r>
              <w:rPr>
                <w:rFonts w:hint="eastAsia" w:ascii="黑体" w:hAnsi="黑体" w:eastAsia="黑体" w:cs="黑体"/>
                <w:sz w:val="18"/>
                <w:szCs w:val="18"/>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bCs/>
                <w:color w:val="000000" w:themeColor="text1"/>
                <w:sz w:val="18"/>
                <w:szCs w:val="18"/>
                <w14:textFill>
                  <w14:solidFill>
                    <w14:schemeClr w14:val="tx1"/>
                  </w14:solidFill>
                </w14:textFill>
              </w:rPr>
              <w:t>款项于</w:t>
            </w:r>
            <w:r>
              <w:rPr>
                <w:rFonts w:hint="eastAsia" w:ascii="黑体" w:hAnsi="黑体" w:eastAsia="黑体" w:cs="黑体"/>
                <w:bCs/>
                <w:kern w:val="0"/>
                <w:sz w:val="18"/>
                <w:szCs w:val="18"/>
              </w:rPr>
              <w:t>赎回</w:t>
            </w:r>
            <w:r>
              <w:rPr>
                <w:rFonts w:hint="eastAsia" w:ascii="黑体" w:hAnsi="黑体" w:eastAsia="黑体" w:cs="黑体"/>
                <w:kern w:val="0"/>
                <w:sz w:val="18"/>
              </w:rPr>
              <w:t>日后【3】个工作日</w:t>
            </w:r>
            <w:r>
              <w:rPr>
                <w:rFonts w:hint="eastAsia" w:ascii="黑体" w:hAnsi="黑体" w:eastAsia="黑体" w:cs="黑体"/>
                <w:bCs/>
                <w:kern w:val="0"/>
                <w:sz w:val="18"/>
                <w:szCs w:val="18"/>
              </w:rPr>
              <w:t>内支付给</w:t>
            </w:r>
            <w:r>
              <w:rPr>
                <w:rFonts w:hint="eastAsia" w:ascii="黑体" w:hAnsi="黑体" w:eastAsia="黑体" w:cs="黑体"/>
                <w:kern w:val="0"/>
                <w:sz w:val="18"/>
              </w:rPr>
              <w:t>投资者</w:t>
            </w:r>
            <w:r>
              <w:rPr>
                <w:rFonts w:hint="eastAsia" w:ascii="黑体" w:hAnsi="黑体" w:eastAsia="黑体" w:cs="黑体"/>
                <w:bCs/>
                <w:kern w:val="0"/>
                <w:sz w:val="18"/>
                <w:szCs w:val="18"/>
              </w:rPr>
              <w:t>。</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sz w:val="18"/>
                <w:szCs w:val="18"/>
              </w:rPr>
            </w:pPr>
            <w:r>
              <w:rPr>
                <w:rFonts w:hint="eastAsia" w:ascii="黑体" w:hAnsi="黑体" w:eastAsia="黑体"/>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sz w:val="18"/>
                <w:szCs w:val="18"/>
              </w:rPr>
              <w:t>以</w:t>
            </w:r>
            <w:r>
              <w:rPr>
                <w:rFonts w:hint="eastAsia" w:ascii="黑体" w:hAnsi="黑体" w:eastAsia="黑体"/>
                <w:sz w:val="18"/>
                <w:szCs w:val="18"/>
              </w:rPr>
              <w:t>代理销售机构的展示</w:t>
            </w:r>
            <w:r>
              <w:rPr>
                <w:rFonts w:ascii="黑体" w:hAnsi="黑体" w:eastAsia="黑体"/>
                <w:sz w:val="18"/>
                <w:szCs w:val="18"/>
              </w:rPr>
              <w:t>为准</w:t>
            </w:r>
            <w:r>
              <w:rPr>
                <w:rFonts w:hint="eastAsia" w:ascii="黑体" w:hAnsi="黑体" w:eastAsia="黑体"/>
                <w:sz w:val="18"/>
                <w:szCs w:val="18"/>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sz w:val="18"/>
                <w:szCs w:val="18"/>
              </w:rPr>
              <w:t>②代理销售机构的实际工作服务时段，最早不得早于销售文件约定</w:t>
            </w:r>
            <w:r>
              <w:rPr>
                <w:rFonts w:ascii="黑体" w:hAnsi="黑体" w:eastAsia="黑体"/>
                <w:sz w:val="18"/>
                <w:szCs w:val="18"/>
              </w:rPr>
              <w:t>的</w:t>
            </w:r>
            <w:r>
              <w:rPr>
                <w:rFonts w:hint="eastAsia" w:ascii="黑体" w:hAnsi="黑体" w:eastAsia="黑体"/>
                <w:sz w:val="18"/>
                <w:szCs w:val="18"/>
              </w:rPr>
              <w:t>起始时点、最晚不得晚于销售文件</w:t>
            </w:r>
            <w:r>
              <w:rPr>
                <w:rFonts w:ascii="黑体" w:hAnsi="黑体" w:eastAsia="黑体"/>
                <w:sz w:val="18"/>
                <w:szCs w:val="18"/>
              </w:rPr>
              <w:t>约定的</w:t>
            </w:r>
            <w:r>
              <w:rPr>
                <w:rFonts w:hint="eastAsia" w:ascii="黑体" w:hAnsi="黑体" w:eastAsia="黑体"/>
                <w:sz w:val="18"/>
                <w:szCs w:val="18"/>
              </w:rPr>
              <w:t>终止时点</w:t>
            </w:r>
            <w:r>
              <w:rPr>
                <w:rFonts w:ascii="黑体" w:hAnsi="黑体" w:eastAsia="黑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bookmarkStart w:id="28" w:name="sale_start"/>
            <w:bookmarkEnd w:id="28"/>
            <w:r>
              <w:rPr>
                <w:rFonts w:hint="eastAsia" w:asciiTheme="majorEastAsia" w:hAnsiTheme="majorEastAsia" w:eastAsiaTheme="majorEastAsia"/>
                <w:bCs/>
                <w:sz w:val="18"/>
                <w:szCs w:val="18"/>
                <w:lang w:eastAsia="zh-CN"/>
              </w:rPr>
              <w:t>1.00</w:t>
            </w:r>
            <w:r>
              <w:rPr>
                <w:rFonts w:hint="eastAsia" w:asciiTheme="majorEastAsia" w:hAnsiTheme="majorEastAsia" w:eastAsiaTheme="majorEastAsia"/>
                <w:bCs/>
                <w:sz w:val="18"/>
                <w:szCs w:val="18"/>
              </w:rPr>
              <w:t>】元；超出起点金额的部分以【</w:t>
            </w:r>
            <w:bookmarkStart w:id="29" w:name="increase"/>
            <w:bookmarkEnd w:id="29"/>
            <w:r>
              <w:rPr>
                <w:rFonts w:hint="eastAsia" w:asciiTheme="majorEastAsia" w:hAnsiTheme="majorEastAsia" w:eastAsiaTheme="majorEastAsia"/>
                <w:bCs/>
                <w:sz w:val="18"/>
                <w:szCs w:val="18"/>
                <w:lang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★认购、申购与赎回的数量限制</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asciiTheme="minorEastAsia" w:hAnsiTheme="minorEastAsia" w:eastAsiaTheme="minorEastAsia"/>
                <w:color w:val="auto"/>
                <w:sz w:val="18"/>
                <w:szCs w:val="18"/>
              </w:rPr>
              <w:t>/</w:t>
            </w:r>
            <w:r>
              <w:rPr>
                <w:rFonts w:hint="eastAsia" w:hAnsi="宋体"/>
                <w:bCs/>
                <w:sz w:val="18"/>
                <w:szCs w:val="18"/>
              </w:rPr>
              <w:t>】类份额）</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每</w:t>
            </w:r>
            <w:r>
              <w:rPr>
                <w:rFonts w:asciiTheme="majorEastAsia" w:hAnsiTheme="majorEastAsia" w:eastAsiaTheme="majorEastAsia"/>
                <w:bCs/>
                <w:sz w:val="18"/>
                <w:szCs w:val="18"/>
              </w:rPr>
              <w:t>个</w:t>
            </w:r>
            <w:r>
              <w:rPr>
                <w:rFonts w:hint="eastAsia" w:asciiTheme="majorEastAsia" w:hAnsiTheme="majorEastAsia" w:eastAsiaTheme="majorEastAsia"/>
                <w:bCs/>
                <w:sz w:val="18"/>
                <w:szCs w:val="18"/>
              </w:rPr>
              <w:t>赎回</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，本产品的净赎回申请（赎回</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份额总数扣除申购</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下同）之和达到上一赎回日产品总份额的【</w:t>
            </w:r>
            <w:r>
              <w:rPr>
                <w:rFonts w:asciiTheme="majorEastAsia" w:hAnsiTheme="majorEastAsia" w:eastAsiaTheme="majorEastAsia"/>
                <w:bCs/>
                <w:sz w:val="18"/>
                <w:szCs w:val="18"/>
              </w:rPr>
              <w:t>10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理财产品的费用和税收</w:t>
            </w:r>
            <w:r>
              <w:rPr>
                <w:rFonts w:asciiTheme="majorEastAsia" w:hAnsiTheme="majorEastAsia" w:eastAsiaTheme="majorEastAsia"/>
                <w:bCs/>
                <w:sz w:val="18"/>
                <w:szCs w:val="18"/>
              </w:rPr>
              <w:t>。</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Cs/>
                <w:sz w:val="18"/>
                <w:szCs w:val="18"/>
              </w:rPr>
            </w:pPr>
            <w:r>
              <w:rPr>
                <w:rFonts w:hint="eastAsia" w:hAnsi="宋体"/>
                <w:bCs/>
                <w:sz w:val="18"/>
                <w:szCs w:val="18"/>
              </w:rPr>
              <w:t>（</w:t>
            </w:r>
            <w:r>
              <w:rPr>
                <w:rFonts w:hint="eastAsia" w:hAnsi="宋体"/>
                <w:bCs/>
                <w:sz w:val="18"/>
                <w:szCs w:val="18"/>
                <w:lang w:eastAsia="zh-CN"/>
              </w:rPr>
              <w:t>适用【B】类份额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Cs/>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Theme="majorEastAsia" w:hAnsiTheme="majorEastAsia" w:eastAsiaTheme="majorEastAsia"/>
                <w:bCs/>
                <w:sz w:val="18"/>
                <w:szCs w:val="18"/>
              </w:rPr>
              <w:t>基于当前对未来市场的判断，根据拟投资债权类资产的信用利差、久期敞口以及流动性溢价，预判组合的波动幅度</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bCs/>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bCs/>
                <w:sz w:val="18"/>
              </w:rPr>
              <w:t>管理人对</w:t>
            </w:r>
            <w:r>
              <w:rPr>
                <w:rFonts w:asciiTheme="majorEastAsia" w:hAnsiTheme="majorEastAsia"/>
                <w:bCs/>
                <w:sz w:val="18"/>
              </w:rPr>
              <w:t>本产品设定</w:t>
            </w:r>
            <w:r>
              <w:rPr>
                <w:rFonts w:hint="eastAsia" w:asciiTheme="majorEastAsia" w:hAnsiTheme="majorEastAsia"/>
                <w:bCs/>
                <w:sz w:val="18"/>
              </w:rPr>
              <w:t>业绩比较基准：</w:t>
            </w:r>
          </w:p>
          <w:p>
            <w:pPr>
              <w:autoSpaceDE w:val="0"/>
              <w:autoSpaceDN w:val="0"/>
              <w:adjustRightInd w:val="0"/>
              <w:spacing w:line="360" w:lineRule="auto"/>
              <w:jc w:val="left"/>
              <w:rPr>
                <w:rFonts w:hint="eastAsia" w:asciiTheme="majorEastAsia" w:hAnsiTheme="majorEastAsia" w:eastAsiaTheme="majorEastAsia"/>
                <w:bCs/>
                <w:kern w:val="0"/>
                <w:sz w:val="18"/>
                <w:szCs w:val="18"/>
                <w:lang w:eastAsia="zh-CN"/>
              </w:rPr>
            </w:pPr>
            <w:bookmarkStart w:id="30" w:name="performance"/>
            <w:bookmarkEnd w:id="30"/>
            <w:r>
              <w:rPr>
                <w:rFonts w:hint="eastAsia" w:asciiTheme="majorEastAsia" w:hAnsiTheme="majorEastAsia" w:eastAsiaTheme="majorEastAsia"/>
                <w:bCs/>
                <w:kern w:val="0"/>
                <w:sz w:val="18"/>
                <w:szCs w:val="18"/>
                <w:lang w:eastAsia="zh-CN"/>
              </w:rPr>
              <w:t>【中债-新综合全价(1年以下)指数收益率*60%+人民银行7天通知存款利率*40%】（适用【B】类份额）</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asciiTheme="majorEastAsia" w:hAnsiTheme="majorEastAsia" w:eastAsiaTheme="majorEastAsia"/>
                <w:bCs/>
                <w:kern w:val="0"/>
                <w:sz w:val="18"/>
                <w:szCs w:val="18"/>
              </w:rPr>
              <w:t xml:space="preserve"> </w:t>
            </w:r>
            <w:r>
              <w:rPr>
                <w:rFonts w:hint="eastAsia" w:asciiTheme="majorEastAsia" w:hAnsiTheme="majorEastAsia" w:eastAsiaTheme="majorEastAsia"/>
                <w:bCs/>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w:t>
            </w:r>
            <w:r>
              <w:rPr>
                <w:rFonts w:hint="eastAsia" w:ascii="黑体" w:hAnsi="黑体" w:eastAsia="黑体" w:cs="黑体"/>
                <w:bCs/>
                <w:sz w:val="18"/>
              </w:rPr>
              <w:t>业绩比较基准</w:t>
            </w:r>
            <w:r>
              <w:rPr>
                <w:rFonts w:hint="eastAsia" w:ascii="黑体" w:hAnsi="黑体" w:eastAsia="黑体" w:cs="黑体"/>
                <w:bCs/>
                <w:sz w:val="18"/>
                <w:szCs w:val="18"/>
              </w:rPr>
              <w:t>不是预期收益率，</w:t>
            </w:r>
            <w:r>
              <w:rPr>
                <w:rFonts w:hint="eastAsia" w:ascii="黑体" w:hAnsi="黑体" w:eastAsia="黑体" w:cs="黑体"/>
                <w:bCs/>
                <w:sz w:val="18"/>
              </w:rPr>
              <w:t>不代表产品</w:t>
            </w:r>
            <w:r>
              <w:rPr>
                <w:rFonts w:hint="eastAsia" w:ascii="黑体" w:hAnsi="黑体" w:eastAsia="黑体" w:cs="黑体"/>
                <w:bCs/>
                <w:sz w:val="18"/>
                <w:szCs w:val="18"/>
              </w:rPr>
              <w:t>的</w:t>
            </w:r>
            <w:r>
              <w:rPr>
                <w:rFonts w:hint="eastAsia" w:ascii="黑体" w:hAnsi="黑体" w:eastAsia="黑体" w:cs="黑体"/>
                <w:bCs/>
                <w:sz w:val="18"/>
              </w:rPr>
              <w:t>未来表现</w:t>
            </w:r>
            <w:r>
              <w:rPr>
                <w:rFonts w:hint="eastAsia" w:ascii="黑体" w:hAnsi="黑体" w:eastAsia="黑体" w:cs="黑体"/>
                <w:bCs/>
                <w:sz w:val="18"/>
                <w:szCs w:val="18"/>
              </w:rPr>
              <w:t>和</w:t>
            </w:r>
            <w:r>
              <w:rPr>
                <w:rFonts w:hint="eastAsia" w:ascii="黑体" w:hAnsi="黑体" w:eastAsia="黑体" w:cs="黑体"/>
                <w:bCs/>
                <w:sz w:val="18"/>
              </w:rPr>
              <w:t>实际收益，不</w:t>
            </w:r>
            <w:r>
              <w:rPr>
                <w:rFonts w:hint="eastAsia" w:ascii="黑体" w:hAnsi="黑体" w:eastAsia="黑体" w:cs="黑体"/>
                <w:bCs/>
                <w:sz w:val="18"/>
                <w:szCs w:val="18"/>
              </w:rPr>
              <w:t>构成对</w:t>
            </w:r>
            <w:r>
              <w:rPr>
                <w:rFonts w:hint="eastAsia" w:ascii="黑体" w:hAnsi="黑体" w:eastAsia="黑体" w:cs="黑体"/>
                <w:bCs/>
                <w:sz w:val="18"/>
              </w:rPr>
              <w:t>产品收益的</w:t>
            </w:r>
            <w:r>
              <w:rPr>
                <w:rFonts w:hint="eastAsia" w:ascii="黑体" w:hAnsi="黑体" w:eastAsia="黑体" w:cs="黑体"/>
                <w:bCs/>
                <w:sz w:val="18"/>
                <w:szCs w:val="18"/>
              </w:rPr>
              <w:t>承诺</w:t>
            </w:r>
            <w:r>
              <w:rPr>
                <w:rFonts w:hint="eastAsia" w:ascii="黑体" w:hAnsi="黑体" w:eastAsia="黑体" w:cs="黑体"/>
                <w:bCs/>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ascii="宋体" w:hAnsi="宋体"/>
                <w:bCs/>
                <w:sz w:val="18"/>
              </w:rPr>
              <w:t>/</w:t>
            </w:r>
            <w:r>
              <w:rPr>
                <w:rFonts w:hint="eastAsia" w:hAnsi="宋体"/>
                <w:bCs/>
                <w:sz w:val="18"/>
                <w:szCs w:val="18"/>
              </w:rPr>
              <w:t>】类份额）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r>
              <w:rPr>
                <w:rFonts w:asciiTheme="majorEastAsia" w:hAnsiTheme="majorEastAsia" w:eastAsiaTheme="majorEastAsia"/>
                <w:bCs/>
                <w:kern w:val="0"/>
                <w:sz w:val="18"/>
                <w:szCs w:val="18"/>
              </w:rPr>
              <w:t xml:space="preserve"> </w:t>
            </w:r>
            <w:r>
              <w:rPr>
                <w:rFonts w:hint="eastAsia" w:asciiTheme="majorEastAsia" w:hAnsiTheme="majorEastAsia" w:eastAsiaTheme="majorEastAsia"/>
                <w:bCs/>
                <w:kern w:val="0"/>
                <w:sz w:val="18"/>
                <w:szCs w:val="18"/>
              </w:rPr>
              <w:t>产品管理人设置业绩报酬计提基准。</w:t>
            </w:r>
          </w:p>
          <w:p>
            <w:pPr>
              <w:spacing w:line="360" w:lineRule="auto"/>
              <w:jc w:val="left"/>
              <w:rPr>
                <w:rFonts w:ascii="宋体" w:hAnsi="宋体"/>
                <w:bCs/>
                <w:sz w:val="18"/>
              </w:rPr>
            </w:pPr>
            <w:r>
              <w:rPr>
                <w:rFonts w:ascii="宋体" w:hAnsi="宋体"/>
                <w:bCs/>
                <w:sz w:val="18"/>
                <w:szCs w:val="18"/>
              </w:rPr>
              <w:t>业绩报酬计提基准的</w:t>
            </w:r>
            <w:r>
              <w:rPr>
                <w:rFonts w:ascii="宋体" w:hAnsi="宋体"/>
                <w:bCs/>
                <w:sz w:val="18"/>
              </w:rPr>
              <w:t>设定</w:t>
            </w:r>
            <w:r>
              <w:rPr>
                <w:rFonts w:hint="eastAsia" w:ascii="宋体" w:hAnsi="宋体"/>
                <w:bCs/>
                <w:sz w:val="18"/>
              </w:rPr>
              <w:t>：管理人</w:t>
            </w:r>
            <w:r>
              <w:rPr>
                <w:rFonts w:ascii="宋体" w:hAnsi="宋体"/>
                <w:bCs/>
                <w:sz w:val="18"/>
              </w:rPr>
              <w:t>对本产品设定</w:t>
            </w:r>
            <w:r>
              <w:rPr>
                <w:rFonts w:hint="eastAsia" w:ascii="宋体" w:hAnsi="宋体"/>
                <w:bCs/>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bCs/>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适用【B】类份额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cstheme="minorEastAsia"/>
                <w:color w:val="000000" w:themeColor="text1"/>
                <w:sz w:val="18"/>
                <w:szCs w:val="18"/>
                <w14:textFill>
                  <w14:solidFill>
                    <w14:schemeClr w14:val="tx1"/>
                  </w14:solidFill>
                </w14:textFill>
              </w:rPr>
            </w:pPr>
            <w:r>
              <w:rPr>
                <w:rFonts w:ascii="黑体" w:hAnsi="黑体" w:eastAsia="黑体" w:cstheme="minorEastAsia"/>
                <w:color w:val="000000" w:themeColor="text1"/>
                <w:sz w:val="18"/>
                <w:szCs w:val="18"/>
                <w14:textFill>
                  <w14:solidFill>
                    <w14:schemeClr w14:val="tx1"/>
                  </w14:solidFill>
                </w14:textFill>
              </w:rPr>
              <w:t>1.</w:t>
            </w:r>
            <w:r>
              <w:rPr>
                <w:rFonts w:hint="eastAsia" w:ascii="黑体" w:hAnsi="黑体" w:eastAsia="黑体" w:cstheme="minorEastAsia"/>
                <w:color w:val="000000" w:themeColor="text1"/>
                <w:sz w:val="18"/>
                <w:szCs w:val="18"/>
                <w14:textFill>
                  <w14:solidFill>
                    <w14:schemeClr w14:val="tx1"/>
                  </w14:solidFill>
                </w14:textFill>
              </w:rPr>
              <w:t>理财产品的费率标准</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1）认购费：</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2）申购费：</w:t>
            </w: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3）赎回费：</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4）销售服</w:t>
            </w:r>
            <w:r>
              <w:rPr>
                <w:rFonts w:hint="eastAsia" w:ascii="黑体" w:hAnsi="黑体" w:eastAsia="黑体" w:cs="黑体"/>
                <w:color w:val="000000" w:themeColor="text1"/>
                <w:sz w:val="18"/>
                <w:szCs w:val="18"/>
                <w14:textFill>
                  <w14:solidFill>
                    <w14:schemeClr w14:val="tx1"/>
                  </w14:solidFill>
                </w14:textFill>
              </w:rPr>
              <w:t>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【0.40%】</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5）投资管理费：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【0.30%</w:t>
            </w:r>
            <w:r>
              <w:rPr>
                <w:rFonts w:ascii="黑体" w:hAnsi="黑体" w:eastAsia="黑体" w:cs="黑体"/>
                <w:sz w:val="18"/>
                <w:szCs w:val="18"/>
              </w:rPr>
              <w:t>】</w:t>
            </w:r>
            <w:r>
              <w:rPr>
                <w:rFonts w:hint="eastAsia" w:ascii="黑体" w:hAnsi="黑体" w:eastAsia="黑体" w:cs="黑体"/>
                <w:color w:val="000000" w:themeColor="text1"/>
                <w:sz w:val="18"/>
                <w:szCs w:val="18"/>
                <w14:textFill>
                  <w14:solidFill>
                    <w14:schemeClr w14:val="tx1"/>
                  </w14:solidFill>
                </w14:textFill>
              </w:rPr>
              <w:t>。</w:t>
            </w:r>
          </w:p>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6）产品托管费：</w:t>
            </w:r>
            <w:r>
              <w:rPr>
                <w:rFonts w:hint="eastAsia" w:ascii="黑体" w:hAnsi="黑体" w:eastAsia="黑体" w:cs="黑体"/>
                <w:sz w:val="18"/>
                <w:szCs w:val="18"/>
              </w:rPr>
              <w:t>年化</w:t>
            </w:r>
            <w:r>
              <w:rPr>
                <w:rFonts w:ascii="黑体" w:hAnsi="黑体" w:eastAsia="黑体" w:cs="黑体"/>
                <w:sz w:val="18"/>
                <w:szCs w:val="18"/>
              </w:rPr>
              <w:t>费率</w:t>
            </w:r>
            <w:r>
              <w:rPr>
                <w:rFonts w:hint="eastAsia" w:ascii="黑体" w:hAnsi="黑体" w:eastAsia="黑体" w:cs="黑体"/>
                <w:sz w:val="18"/>
                <w:szCs w:val="18"/>
              </w:rPr>
              <w:t>【0.03%</w:t>
            </w:r>
            <w:r>
              <w:rPr>
                <w:rFonts w:ascii="黑体" w:hAnsi="黑体" w:eastAsia="黑体" w:cs="黑体"/>
                <w:sz w:val="18"/>
                <w:szCs w:val="18"/>
              </w:rPr>
              <w:t>】</w:t>
            </w:r>
            <w:r>
              <w:rPr>
                <w:rFonts w:hint="eastAsia" w:ascii="黑体" w:hAnsi="黑体" w:eastAsia="黑体" w:cs="黑体"/>
                <w:color w:val="000000" w:themeColor="text1"/>
                <w:sz w:val="18"/>
                <w:szCs w:val="18"/>
                <w14:textFill>
                  <w14:solidFill>
                    <w14:schemeClr w14:val="tx1"/>
                  </w14:solidFill>
                </w14:textFill>
              </w:rPr>
              <w:t>。</w:t>
            </w:r>
          </w:p>
          <w:p>
            <w:pPr>
              <w:widowControl/>
              <w:spacing w:line="360" w:lineRule="auto"/>
              <w:jc w:val="left"/>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w:t>
            </w:r>
            <w:r>
              <w:rPr>
                <w:rFonts w:ascii="黑体" w:hAnsi="黑体" w:eastAsia="黑体" w:cs="黑体"/>
                <w:color w:val="000000" w:themeColor="text1"/>
                <w:sz w:val="18"/>
                <w:szCs w:val="18"/>
                <w14:textFill>
                  <w14:solidFill>
                    <w14:schemeClr w14:val="tx1"/>
                  </w14:solidFill>
                </w14:textFill>
              </w:rPr>
              <w:t>7）超额业绩报酬：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31" w:name="_Toc79154666"/>
      <w:bookmarkStart w:id="32" w:name="_Toc4403"/>
      <w:bookmarkStart w:id="33" w:name="_Toc21959"/>
      <w:bookmarkStart w:id="34" w:name="_Toc92377132"/>
      <w:bookmarkStart w:id="35" w:name="_Toc10659"/>
      <w:r>
        <w:rPr>
          <w:rFonts w:ascii="Times New Roman"/>
          <w:sz w:val="30"/>
        </w:rPr>
        <w:t>第</w:t>
      </w:r>
      <w:r>
        <w:rPr>
          <w:rFonts w:hint="eastAsia" w:ascii="Times New Roman"/>
          <w:sz w:val="30"/>
        </w:rPr>
        <w:t>三条</w:t>
      </w:r>
      <w:r>
        <w:rPr>
          <w:rFonts w:ascii="Times New Roman"/>
          <w:sz w:val="30"/>
        </w:rPr>
        <w:t xml:space="preserve">  </w:t>
      </w:r>
      <w:bookmarkStart w:id="36" w:name="_Toc79392573"/>
      <w:r>
        <w:rPr>
          <w:rFonts w:hint="eastAsia" w:ascii="Times New Roman"/>
          <w:sz w:val="30"/>
        </w:rPr>
        <w:t>理财产品的认购</w:t>
      </w:r>
      <w:bookmarkEnd w:id="31"/>
      <w:bookmarkEnd w:id="32"/>
      <w:bookmarkEnd w:id="33"/>
      <w:bookmarkEnd w:id="34"/>
      <w:bookmarkEnd w:id="35"/>
    </w:p>
    <w:p>
      <w:pPr>
        <w:spacing w:line="360" w:lineRule="auto"/>
        <w:ind w:firstLine="361" w:firstLineChars="200"/>
        <w:rPr>
          <w:rFonts w:asciiTheme="minorEastAsia" w:hAnsiTheme="minorEastAsia"/>
          <w:b/>
          <w:bCs/>
          <w:sz w:val="18"/>
          <w:szCs w:val="18"/>
        </w:rPr>
      </w:pPr>
      <w:bookmarkStart w:id="37" w:name="_Hlt88031774"/>
      <w:bookmarkEnd w:id="37"/>
      <w:bookmarkStart w:id="3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39" w:name="_Toc29856"/>
      <w:bookmarkStart w:id="40" w:name="_Toc92377133"/>
      <w:bookmarkStart w:id="41" w:name="_Toc79154667"/>
      <w:bookmarkStart w:id="42" w:name="_Toc32177"/>
      <w:bookmarkStart w:id="43" w:name="_Toc6529"/>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39"/>
      <w:bookmarkEnd w:id="40"/>
      <w:bookmarkEnd w:id="41"/>
      <w:bookmarkEnd w:id="42"/>
      <w:bookmarkEnd w:id="43"/>
    </w:p>
    <w:bookmarkEnd w:id="38"/>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86"/>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具体申购时间以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w:t>
      </w:r>
      <w:r>
        <w:rPr>
          <w:rFonts w:asciiTheme="minorEastAsia" w:hAnsiTheme="minorEastAsia"/>
          <w:bCs/>
          <w:color w:val="auto"/>
          <w:sz w:val="18"/>
          <w:szCs w:val="18"/>
        </w:rPr>
        <w:t>=申购金额/（1+申购费率）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w:t>
      </w:r>
      <w:r>
        <w:rPr>
          <w:rFonts w:asciiTheme="minorEastAsia" w:hAnsiTheme="minorEastAsia"/>
          <w:bCs/>
          <w:color w:val="auto"/>
          <w:sz w:val="18"/>
          <w:szCs w:val="18"/>
        </w:rPr>
        <w:t>=申购金额－净申购金额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w:t>
      </w:r>
      <w:r>
        <w:rPr>
          <w:rFonts w:asciiTheme="minorEastAsia" w:hAnsiTheme="minorEastAsia"/>
          <w:bCs/>
          <w:color w:val="auto"/>
          <w:sz w:val="18"/>
          <w:szCs w:val="18"/>
        </w:rPr>
        <w:t>=净申购金额/申购日产品份额净值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86"/>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具体赎回时间以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w:t>
      </w:r>
      <w:r>
        <w:rPr>
          <w:rFonts w:asciiTheme="majorEastAsia" w:hAnsiTheme="majorEastAsia" w:eastAsiaTheme="majorEastAsia"/>
          <w:color w:val="auto"/>
          <w:sz w:val="18"/>
          <w:szCs w:val="18"/>
        </w:rPr>
        <w:t>=赎回份额×赎回日该产品份额净值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w:t>
      </w:r>
      <w:r>
        <w:rPr>
          <w:rFonts w:asciiTheme="majorEastAsia" w:hAnsiTheme="majorEastAsia" w:eastAsiaTheme="majorEastAsia"/>
          <w:color w:val="auto"/>
          <w:sz w:val="18"/>
          <w:szCs w:val="18"/>
        </w:rPr>
        <w:t>=赎回总金额×赎回费率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w:t>
      </w:r>
      <w:r>
        <w:rPr>
          <w:rFonts w:asciiTheme="majorEastAsia" w:hAnsiTheme="majorEastAsia" w:eastAsiaTheme="majorEastAsia"/>
          <w:color w:val="auto"/>
          <w:sz w:val="18"/>
          <w:szCs w:val="18"/>
        </w:rPr>
        <w:t>=赎回总金额-赎回费用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日交易时间截止</w:t>
      </w:r>
      <w:r>
        <w:rPr>
          <w:rFonts w:asciiTheme="majorEastAsia" w:hAnsiTheme="majorEastAsia" w:eastAsiaTheme="majorEastAsia"/>
          <w:color w:val="auto"/>
          <w:sz w:val="18"/>
          <w:szCs w:val="18"/>
        </w:rPr>
        <w:t>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36"/>
    <w:p>
      <w:pPr>
        <w:pStyle w:val="2"/>
        <w:spacing w:before="0" w:after="0" w:line="360" w:lineRule="auto"/>
        <w:jc w:val="center"/>
        <w:rPr>
          <w:rFonts w:ascii="Times New Roman"/>
          <w:sz w:val="30"/>
        </w:rPr>
      </w:pPr>
      <w:bookmarkStart w:id="44" w:name="_Toc90742688"/>
      <w:bookmarkStart w:id="45" w:name="_Toc92377134"/>
      <w:bookmarkStart w:id="46" w:name="_Toc79154668"/>
      <w:bookmarkStart w:id="47" w:name="_Toc16265"/>
      <w:bookmarkStart w:id="48" w:name="_Toc23413"/>
      <w:bookmarkStart w:id="49" w:name="_Toc25685"/>
      <w:bookmarkStart w:id="50" w:name="_Toc15203"/>
      <w:bookmarkStart w:id="51" w:name="_Toc6714"/>
      <w:bookmarkStart w:id="52" w:name="_Toc90742321"/>
      <w:bookmarkStart w:id="53" w:name="_Toc12517"/>
      <w:bookmarkStart w:id="54" w:name="_Toc29948"/>
      <w:bookmarkStart w:id="55" w:name="_Toc27226"/>
      <w:bookmarkStart w:id="56" w:name="_Toc90742390"/>
      <w:bookmarkStart w:id="57" w:name="_Toc29784"/>
      <w:bookmarkStart w:id="58" w:name="_Toc7151"/>
      <w:bookmarkStart w:id="59" w:name="_Toc3266"/>
      <w:bookmarkStart w:id="60" w:name="_Toc22074"/>
      <w:bookmarkStart w:id="61" w:name="_Toc27189"/>
      <w:bookmarkStart w:id="62" w:name="_Toc74065741"/>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（4）投资于上述资产的符合监管要求的公募基金、基金公司或子公司资产管理计划、证券公司资</w:t>
      </w:r>
    </w:p>
    <w:p>
      <w:pPr>
        <w:autoSpaceDE w:val="0"/>
        <w:autoSpaceDN w:val="0"/>
        <w:adjustRightInd w:val="0"/>
        <w:spacing w:line="360" w:lineRule="auto"/>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本产品投资于债权类资产的比例不低于产品总资产的80%。</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kern w:val="0"/>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（4）全部开放式公募理财产品投资单一上市公司发行的股票不得超过该上市公司可流通股票的15%。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7）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（8）本产品因为流动性需要可开展存单质押、债券正回购等融资业务，本产品总资产不超过净资产的140%。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permStart w:id="19"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19"/>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63" w:name="_Toc92377135"/>
      <w:bookmarkStart w:id="64" w:name="_Toc27967"/>
      <w:bookmarkStart w:id="65" w:name="_Toc7848"/>
      <w:bookmarkStart w:id="66" w:name="_Toc21988"/>
      <w:bookmarkStart w:id="67" w:name="_Toc18797"/>
      <w:bookmarkStart w:id="68" w:name="_Toc74065742"/>
      <w:bookmarkStart w:id="69" w:name="_Toc17912"/>
      <w:bookmarkStart w:id="70" w:name="_Toc1823"/>
      <w:bookmarkStart w:id="71" w:name="_Toc79154669"/>
      <w:bookmarkStart w:id="72" w:name="_Toc26986"/>
      <w:bookmarkStart w:id="73" w:name="_Toc5702"/>
      <w:bookmarkStart w:id="74" w:name="_Toc18526"/>
      <w:bookmarkStart w:id="75" w:name="_Toc31087"/>
      <w:bookmarkStart w:id="76" w:name="_Toc14893"/>
      <w:bookmarkStart w:id="77" w:name="_Toc139991735"/>
      <w:bookmarkStart w:id="78" w:name="_Toc4741"/>
      <w:bookmarkStart w:id="79" w:name="_Toc18329"/>
      <w:bookmarkStart w:id="80" w:name="_Toc141703885"/>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34"/>
        <w:spacing w:line="360" w:lineRule="auto"/>
        <w:ind w:firstLine="361" w:firstLineChars="200"/>
        <w:rPr>
          <w:rFonts w:asciiTheme="majorEastAsia" w:hAnsiTheme="majorEastAsia" w:eastAsiaTheme="majorEastAsia"/>
          <w:b/>
          <w:color w:val="auto"/>
          <w:sz w:val="18"/>
          <w:szCs w:val="18"/>
        </w:rPr>
      </w:pPr>
      <w:bookmarkStart w:id="81"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81"/>
    <w:p>
      <w:pPr>
        <w:pStyle w:val="2"/>
        <w:spacing w:before="0" w:after="0" w:line="360" w:lineRule="auto"/>
        <w:jc w:val="center"/>
        <w:rPr>
          <w:rFonts w:ascii="Times New Roman"/>
          <w:sz w:val="28"/>
          <w:szCs w:val="28"/>
        </w:rPr>
      </w:pPr>
      <w:bookmarkStart w:id="82" w:name="_Toc83391971"/>
      <w:bookmarkStart w:id="83" w:name="_Toc92377136"/>
      <w:bookmarkStart w:id="84" w:name="_Toc11152"/>
      <w:bookmarkStart w:id="85" w:name="_Toc19132"/>
      <w:bookmarkStart w:id="86" w:name="_Toc13903"/>
      <w:bookmarkStart w:id="87" w:name="_Toc139991736"/>
      <w:bookmarkStart w:id="88" w:name="_Toc610"/>
      <w:bookmarkStart w:id="89" w:name="_Toc1270"/>
      <w:bookmarkStart w:id="90" w:name="_Toc20733"/>
      <w:bookmarkStart w:id="91" w:name="_Toc4003"/>
      <w:bookmarkStart w:id="92" w:name="_Toc79392606"/>
      <w:bookmarkStart w:id="93" w:name="_Toc48649707"/>
      <w:bookmarkStart w:id="94" w:name="_Toc10463"/>
      <w:bookmarkStart w:id="95" w:name="_Toc23822"/>
      <w:bookmarkStart w:id="96" w:name="_Toc123051452"/>
      <w:bookmarkStart w:id="97" w:name="_Toc17244"/>
      <w:bookmarkStart w:id="98" w:name="_Toc1427"/>
      <w:bookmarkStart w:id="99" w:name="_Toc74065743"/>
      <w:bookmarkStart w:id="100" w:name="_Toc141703886"/>
      <w:bookmarkStart w:id="101" w:name="_Toc79154670"/>
      <w:bookmarkStart w:id="102" w:name="_Toc7920"/>
      <w:bookmarkStart w:id="103" w:name="_Toc123102453"/>
      <w:bookmarkStart w:id="104" w:name="_Toc98560352"/>
      <w:bookmarkStart w:id="105" w:name="_Toc23261"/>
      <w:bookmarkStart w:id="106" w:name="_Toc123112234"/>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82"/>
      <w:bookmarkEnd w:id="83"/>
      <w:bookmarkEnd w:id="84"/>
      <w:bookmarkEnd w:id="85"/>
      <w:bookmarkEnd w:id="86"/>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，每个【工作日】进行一次估值</w:t>
      </w:r>
      <w:r>
        <w:rPr>
          <w:rFonts w:hint="eastAsia" w:asciiTheme="minorEastAsia" w:hAnsiTheme="minorEastAsia" w:eastAsiaTheme="minorEastAsia"/>
          <w:color w:val="2E3033"/>
          <w:sz w:val="18"/>
          <w:szCs w:val="18"/>
        </w:rPr>
        <w:t>。</w:t>
      </w:r>
    </w:p>
    <w:permEnd w:id="20"/>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w:t>
      </w:r>
      <w:r>
        <w:rPr>
          <w:rFonts w:hint="eastAsia" w:asciiTheme="minorEastAsia" w:hAnsiTheme="minorEastAsia" w:eastAsiaTheme="minorEastAsia"/>
          <w:bCs/>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（2）对已发行但未上市流通，且第三方估值机构未提供估值数据的标准化债权类资产，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asciiTheme="majorEastAsia" w:hAnsiTheme="majorEastAsia" w:eastAsiaTheme="majorEastAsia"/>
          <w:bCs/>
          <w:color w:val="auto"/>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bCs/>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4.上市公司股票</w:t>
      </w:r>
      <w:r>
        <w:rPr>
          <w:rFonts w:hint="eastAsia" w:asciiTheme="majorEastAsia" w:hAnsiTheme="majorEastAsia" w:eastAsiaTheme="majorEastAsia"/>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6.</w:t>
      </w:r>
      <w:r>
        <w:rPr>
          <w:rFonts w:hint="eastAsia" w:asciiTheme="minorEastAsia" w:hAnsiTheme="minorEastAsia" w:eastAsiaTheme="minorEastAsia"/>
          <w:bCs/>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7.</w:t>
      </w:r>
      <w:r>
        <w:rPr>
          <w:rFonts w:hint="eastAsia" w:asciiTheme="minorEastAsia" w:hAnsiTheme="minorEastAsia" w:eastAsiaTheme="minorEastAsia"/>
          <w:bCs/>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8.</w:t>
      </w:r>
      <w:r>
        <w:rPr>
          <w:rFonts w:hint="eastAsia" w:asciiTheme="minorEastAsia" w:hAnsiTheme="minorEastAsia" w:eastAsiaTheme="minorEastAsia"/>
          <w:bCs/>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r>
        <w:rPr>
          <w:rFonts w:asciiTheme="minorEastAsia" w:hAnsiTheme="minorEastAsia" w:eastAsiaTheme="minorEastAsia"/>
          <w:color w:val="auto"/>
          <w:sz w:val="18"/>
          <w:szCs w:val="18"/>
        </w:rPr>
        <w:t xml:space="preserve"> </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10.</w:t>
      </w:r>
      <w:r>
        <w:rPr>
          <w:rFonts w:hint="eastAsia" w:asciiTheme="minorEastAsia" w:hAnsiTheme="minorEastAsia" w:eastAsiaTheme="minorEastAsia"/>
          <w:bCs/>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Pr>
        <w:pStyle w:val="2"/>
        <w:spacing w:before="0" w:after="0" w:line="360" w:lineRule="auto"/>
        <w:ind w:left="60" w:firstLine="10"/>
        <w:jc w:val="center"/>
        <w:rPr>
          <w:rFonts w:ascii="Times New Roman"/>
          <w:sz w:val="30"/>
        </w:rPr>
      </w:pPr>
      <w:bookmarkStart w:id="107" w:name="_Hlt70481650"/>
      <w:bookmarkEnd w:id="107"/>
      <w:bookmarkStart w:id="108" w:name="_Toc123112235"/>
      <w:bookmarkStart w:id="109" w:name="_Toc8695"/>
      <w:bookmarkStart w:id="110" w:name="_Toc79154671"/>
      <w:bookmarkStart w:id="111" w:name="_Toc123051453"/>
      <w:bookmarkStart w:id="112" w:name="_Toc15143"/>
      <w:bookmarkStart w:id="113" w:name="_Toc29251"/>
      <w:bookmarkStart w:id="114" w:name="_Toc4020"/>
      <w:bookmarkStart w:id="115" w:name="_Toc31644"/>
      <w:bookmarkStart w:id="116" w:name="_Toc26207"/>
      <w:bookmarkStart w:id="117" w:name="_Toc6405"/>
      <w:bookmarkStart w:id="118" w:name="_Toc8045"/>
      <w:bookmarkStart w:id="119" w:name="_Toc139991737"/>
      <w:bookmarkStart w:id="120" w:name="_Toc31235"/>
      <w:bookmarkStart w:id="121" w:name="_Toc31653"/>
      <w:bookmarkStart w:id="122" w:name="_Toc141703887"/>
      <w:bookmarkStart w:id="123" w:name="_Toc14835"/>
      <w:bookmarkStart w:id="124" w:name="_Toc92377137"/>
      <w:bookmarkStart w:id="125" w:name="_Toc98560353"/>
      <w:bookmarkStart w:id="126" w:name="_Toc3601"/>
      <w:bookmarkStart w:id="127" w:name="_Toc74065744"/>
      <w:bookmarkStart w:id="128" w:name="_Toc123102454"/>
      <w:bookmarkStart w:id="129" w:name="_Toc1224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Start w:id="130" w:name="_Hlt55355235"/>
      <w:bookmarkEnd w:id="130"/>
      <w:bookmarkStart w:id="131" w:name="_Toc79392580"/>
      <w:bookmarkStart w:id="132" w:name="_Toc523711668"/>
      <w:bookmarkStart w:id="133" w:name="_Toc57530239"/>
      <w:bookmarkStart w:id="134"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color w:val="auto"/>
          <w:sz w:val="18"/>
          <w:szCs w:val="18"/>
        </w:rPr>
      </w:pPr>
      <w:permStart w:id="21" w:edGrp="everyone"/>
      <w:r>
        <w:rPr>
          <w:rFonts w:hAnsi="宋体"/>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Ansi="宋体"/>
          <w:color w:val="auto"/>
          <w:sz w:val="18"/>
          <w:szCs w:val="18"/>
        </w:rPr>
        <w:t>3.理财产品存续期间，产品管理人有权视理财产品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ermEnd w:id="22"/>
    </w:p>
    <w:p>
      <w:pPr>
        <w:widowControl/>
        <w:spacing w:line="360" w:lineRule="auto"/>
        <w:jc w:val="left"/>
        <w:rPr>
          <w:rFonts w:ascii="宋体" w:hAnsi="宋体"/>
          <w:kern w:val="0"/>
          <w:sz w:val="18"/>
          <w:szCs w:val="18"/>
        </w:rPr>
      </w:pPr>
      <w:r>
        <w:rPr>
          <w:rFonts w:hAnsi="宋体"/>
          <w:sz w:val="18"/>
          <w:szCs w:val="18"/>
        </w:rPr>
        <w:br w:type="page"/>
      </w:r>
    </w:p>
    <w:bookmarkEnd w:id="131"/>
    <w:bookmarkEnd w:id="132"/>
    <w:bookmarkEnd w:id="133"/>
    <w:bookmarkEnd w:id="134"/>
    <w:p>
      <w:pPr>
        <w:pStyle w:val="2"/>
        <w:spacing w:before="0" w:after="0" w:line="360" w:lineRule="auto"/>
        <w:jc w:val="center"/>
        <w:rPr>
          <w:rFonts w:ascii="Times New Roman"/>
          <w:sz w:val="30"/>
        </w:rPr>
      </w:pPr>
      <w:bookmarkStart w:id="135" w:name="_Hlt88897298"/>
      <w:bookmarkEnd w:id="135"/>
      <w:bookmarkStart w:id="136" w:name="_Hlt88825574"/>
      <w:bookmarkEnd w:id="136"/>
      <w:bookmarkStart w:id="137" w:name="_Toc123051454"/>
      <w:bookmarkStart w:id="138" w:name="_Toc92377138"/>
      <w:bookmarkStart w:id="139" w:name="_Toc4559"/>
      <w:bookmarkStart w:id="140" w:name="_Toc6394"/>
      <w:bookmarkStart w:id="141" w:name="_Toc9706"/>
      <w:bookmarkStart w:id="142" w:name="_Toc79392583"/>
      <w:bookmarkStart w:id="143" w:name="_Toc10650"/>
      <w:bookmarkStart w:id="144" w:name="_Toc7058"/>
      <w:bookmarkStart w:id="145" w:name="_Toc1043"/>
      <w:bookmarkStart w:id="146" w:name="_Toc25783"/>
      <w:bookmarkStart w:id="147" w:name="_Toc11030"/>
      <w:bookmarkStart w:id="148" w:name="_Toc141703888"/>
      <w:bookmarkStart w:id="149" w:name="_Toc74065745"/>
      <w:bookmarkStart w:id="150" w:name="_Toc6447"/>
      <w:bookmarkStart w:id="151" w:name="_Toc3321"/>
      <w:bookmarkStart w:id="152" w:name="_Toc3771"/>
      <w:bookmarkStart w:id="153" w:name="_Toc123112236"/>
      <w:bookmarkStart w:id="154" w:name="_Toc139991738"/>
      <w:bookmarkStart w:id="155" w:name="_Toc18567"/>
      <w:bookmarkStart w:id="156" w:name="_Toc123102455"/>
      <w:bookmarkStart w:id="157" w:name="_Toc79154672"/>
      <w:bookmarkStart w:id="158" w:name="_Toc22998"/>
      <w:bookmarkStart w:id="159" w:name="_Toc98560354"/>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③在投资者提出赎回申请的产品份额所对应的赎回日提取超额业绩报酬的，超额业绩报酬从赎回资金中扣除；在产品终止日提取超额业绩报酬的，超额业绩报酬从清算资金中扣除；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产品份额超额业绩报酬计提日为投资者提出赎回申请的产品份额所对应的赎回日或产品终止日。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，超额业绩报酬=赎回的产品份额或产品终止时投资者持有的产品份额×产品成立日或产品份额申购日的产品份额净值×（R-当前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）×N×D/365。</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ermEnd w:id="23"/>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60" w:name="_Toc3963"/>
      <w:bookmarkStart w:id="161" w:name="_Toc1745"/>
      <w:r>
        <w:br w:type="page"/>
      </w:r>
      <w:bookmarkStart w:id="162" w:name="_Toc123051455"/>
      <w:bookmarkStart w:id="163" w:name="_Toc74065746"/>
      <w:bookmarkStart w:id="164" w:name="_Toc10398"/>
      <w:bookmarkStart w:id="165" w:name="_Toc123112237"/>
      <w:bookmarkStart w:id="166" w:name="_Toc3080"/>
      <w:bookmarkStart w:id="167" w:name="_Toc2757"/>
      <w:bookmarkStart w:id="168" w:name="_Toc31821"/>
      <w:bookmarkStart w:id="169" w:name="_Toc25397"/>
      <w:bookmarkStart w:id="170" w:name="_Toc21735"/>
      <w:bookmarkStart w:id="171" w:name="_Toc5388"/>
      <w:bookmarkStart w:id="172" w:name="_Toc725"/>
      <w:bookmarkStart w:id="173" w:name="_Toc92377139"/>
      <w:bookmarkStart w:id="174" w:name="_Toc141703889"/>
      <w:bookmarkStart w:id="175" w:name="_Toc18206"/>
      <w:bookmarkStart w:id="176" w:name="_Toc79154673"/>
      <w:bookmarkStart w:id="177" w:name="_Toc123102456"/>
      <w:bookmarkStart w:id="178" w:name="_Toc139991739"/>
      <w:bookmarkStart w:id="179" w:name="_Toc3572"/>
      <w:bookmarkStart w:id="180" w:name="_Toc16164"/>
      <w:bookmarkStart w:id="181" w:name="_Toc98560355"/>
      <w:r>
        <w:rPr>
          <w:rFonts w:hint="eastAsia"/>
          <w:sz w:val="30"/>
        </w:rPr>
        <w:t>第十条</w:t>
      </w:r>
      <w:r>
        <w:rPr>
          <w:sz w:val="30"/>
        </w:rPr>
        <w:t xml:space="preserve">  </w:t>
      </w:r>
      <w:r>
        <w:rPr>
          <w:rFonts w:hint="eastAsia"/>
          <w:sz w:val="30"/>
        </w:rPr>
        <w:t>理财产品的终止与清算</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spacing w:line="360" w:lineRule="auto"/>
        <w:ind w:firstLine="361" w:firstLineChars="200"/>
        <w:rPr>
          <w:rFonts w:asciiTheme="majorEastAsia" w:hAnsiTheme="majorEastAsia" w:eastAsiaTheme="majorEastAsia"/>
          <w:b/>
          <w:bCs/>
          <w:sz w:val="18"/>
          <w:szCs w:val="18"/>
        </w:rPr>
      </w:pPr>
      <w:bookmarkStart w:id="182" w:name="_Toc79392593"/>
      <w:bookmarkStart w:id="183" w:name="_Toc15118245"/>
      <w:bookmarkStart w:id="184"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82"/>
    <w:bookmarkEnd w:id="183"/>
    <w:bookmarkEnd w:id="184"/>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18"/>
          <w:szCs w:val="18"/>
        </w:rPr>
      </w:pPr>
      <w:r>
        <w:rPr>
          <w:rFonts w:ascii="Times New Roman"/>
          <w:b w:val="0"/>
          <w:bCs w:val="0"/>
          <w:kern w:val="2"/>
        </w:rPr>
        <w:br w:type="page"/>
      </w:r>
      <w:bookmarkStart w:id="185" w:name="_Toc593"/>
      <w:bookmarkStart w:id="186" w:name="_Toc24268"/>
      <w:bookmarkStart w:id="187" w:name="_Toc92377140"/>
      <w:bookmarkStart w:id="188" w:name="_Toc7953"/>
      <w:bookmarkStart w:id="189" w:name="_Toc141703890"/>
      <w:bookmarkStart w:id="190" w:name="_Toc74065747"/>
      <w:bookmarkStart w:id="191" w:name="_Toc139991740"/>
      <w:bookmarkStart w:id="192" w:name="_Toc739"/>
      <w:bookmarkStart w:id="193" w:name="_Toc79392622"/>
      <w:bookmarkStart w:id="194" w:name="_Toc123112238"/>
      <w:bookmarkStart w:id="195" w:name="_Toc17198"/>
      <w:bookmarkStart w:id="196" w:name="_Toc5170"/>
      <w:bookmarkStart w:id="197" w:name="_Toc32092"/>
      <w:bookmarkStart w:id="198" w:name="_Toc17920"/>
      <w:bookmarkStart w:id="199" w:name="_Toc32584"/>
      <w:bookmarkStart w:id="200" w:name="_Toc83391975"/>
      <w:bookmarkStart w:id="201" w:name="_Toc98560356"/>
      <w:bookmarkStart w:id="202" w:name="_Toc21237"/>
      <w:bookmarkStart w:id="203" w:name="_Toc79154674"/>
      <w:bookmarkStart w:id="204" w:name="_Toc48649708"/>
      <w:bookmarkStart w:id="205" w:name="_Toc29408"/>
      <w:bookmarkStart w:id="206" w:name="_Toc3329"/>
      <w:bookmarkStart w:id="207" w:name="_Toc123051456"/>
      <w:bookmarkStart w:id="208" w:name="_Toc123102457"/>
      <w:bookmarkStart w:id="209" w:name="_Toc8791"/>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85"/>
      <w:bookmarkEnd w:id="186"/>
      <w:bookmarkEnd w:id="187"/>
      <w:bookmarkEnd w:id="188"/>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hint="eastAsia" w:ascii="宋体" w:hAnsi="宋体"/>
          <w:bCs/>
          <w:sz w:val="18"/>
          <w:szCs w:val="18"/>
        </w:rPr>
        <w:t>产品管理人</w:t>
      </w:r>
      <w:r>
        <w:rPr>
          <w:rFonts w:ascii="宋体" w:hAnsi="宋体"/>
          <w:bCs/>
          <w:sz w:val="18"/>
          <w:szCs w:val="18"/>
        </w:rPr>
        <w:t>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期间，每【工作日】向投资者披露一次估值日公告，估值日公告披露的内容包括估值日的产品份额净值、产品份额累计净值等。如遇法定节假日顺延。此外，如遇其他特殊情况，以产品管理人信息披露为准。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1）</w:t>
      </w:r>
      <w:r>
        <w:rPr>
          <w:rFonts w:hint="eastAsia" w:ascii="黑体" w:hAnsi="黑体" w:eastAsia="黑体"/>
          <w:sz w:val="18"/>
          <w:szCs w:val="18"/>
        </w:rPr>
        <w:t>★产品管理人</w:t>
      </w:r>
      <w:r>
        <w:rPr>
          <w:rFonts w:ascii="黑体" w:hAnsi="黑体" w:eastAsia="黑体"/>
          <w:sz w:val="18"/>
          <w:szCs w:val="18"/>
        </w:rPr>
        <w:t>对</w:t>
      </w:r>
      <w:r>
        <w:rPr>
          <w:rFonts w:hint="eastAsia" w:ascii="黑体" w:hAnsi="黑体" w:eastAsia="黑体"/>
          <w:sz w:val="18"/>
          <w:szCs w:val="18"/>
        </w:rPr>
        <w:t>投资范围、投资资产种类、</w:t>
      </w:r>
      <w:r>
        <w:rPr>
          <w:rFonts w:ascii="黑体" w:hAnsi="黑体" w:eastAsia="黑体"/>
          <w:sz w:val="18"/>
          <w:szCs w:val="18"/>
        </w:rPr>
        <w:t>投资</w:t>
      </w:r>
      <w:r>
        <w:rPr>
          <w:rFonts w:hint="eastAsia" w:ascii="黑体" w:hAnsi="黑体" w:eastAsia="黑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sz w:val="18"/>
          <w:szCs w:val="18"/>
        </w:rPr>
        <w:t>2个工作日发布变更公告</w:t>
      </w:r>
      <w:r>
        <w:rPr>
          <w:rFonts w:hint="eastAsia"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4）★在本产品存续期内，如因国家法律法规、监管规定发生变化，或是出于维护本产品正常运营的需要，在不损害投资者</w:t>
      </w:r>
      <w:r>
        <w:rPr>
          <w:rFonts w:hint="eastAsia" w:ascii="黑体" w:hAnsi="黑体" w:eastAsia="黑体"/>
          <w:sz w:val="18"/>
          <w:szCs w:val="18"/>
        </w:rPr>
        <w:t>权益</w:t>
      </w:r>
      <w:r>
        <w:rPr>
          <w:rFonts w:ascii="黑体" w:hAnsi="黑体" w:eastAsia="黑体"/>
          <w:sz w:val="18"/>
          <w:szCs w:val="18"/>
        </w:rPr>
        <w:t>的前提下，</w:t>
      </w:r>
      <w:r>
        <w:rPr>
          <w:rFonts w:hint="eastAsia" w:ascii="黑体" w:hAnsi="黑体" w:eastAsia="黑体"/>
          <w:sz w:val="18"/>
          <w:szCs w:val="18"/>
        </w:rPr>
        <w:t>产品管理人</w:t>
      </w:r>
      <w:r>
        <w:rPr>
          <w:rFonts w:ascii="黑体" w:hAnsi="黑体" w:eastAsia="黑体"/>
          <w:sz w:val="18"/>
          <w:szCs w:val="18"/>
        </w:rPr>
        <w:t>有权对</w:t>
      </w:r>
      <w:r>
        <w:rPr>
          <w:rFonts w:hint="eastAsia" w:ascii="黑体" w:hAnsi="黑体" w:eastAsia="黑体"/>
          <w:sz w:val="18"/>
          <w:szCs w:val="18"/>
        </w:rPr>
        <w:t>理财产品销售文件</w:t>
      </w:r>
      <w:r>
        <w:rPr>
          <w:rFonts w:ascii="黑体" w:hAnsi="黑体" w:eastAsia="黑体"/>
          <w:sz w:val="18"/>
          <w:szCs w:val="18"/>
        </w:rPr>
        <w:t>进行修订，并提前2个工作日进行</w:t>
      </w:r>
      <w:r>
        <w:rPr>
          <w:rFonts w:hint="eastAsia" w:ascii="黑体" w:hAnsi="黑体" w:eastAsia="黑体"/>
          <w:sz w:val="18"/>
          <w:szCs w:val="18"/>
        </w:rPr>
        <w:t>公告</w:t>
      </w:r>
      <w:r>
        <w:rPr>
          <w:rFonts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Pr>
        <w:spacing w:line="360" w:lineRule="auto"/>
        <w:ind w:firstLine="360" w:firstLineChars="200"/>
        <w:rPr>
          <w:rFonts w:ascii="黑体" w:hAnsi="黑体" w:eastAsia="黑体"/>
          <w:sz w:val="18"/>
          <w:szCs w:val="18"/>
        </w:rPr>
      </w:pPr>
      <w:r>
        <w:rPr>
          <w:rFonts w:hint="eastAsia" w:ascii="黑体" w:hAnsi="黑体" w:eastAsia="黑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sz w:val="18"/>
          <w:szCs w:val="18"/>
        </w:rPr>
        <w:t>并提前2个工作日进行</w:t>
      </w:r>
      <w:r>
        <w:rPr>
          <w:rFonts w:hint="eastAsia" w:ascii="黑体" w:hAnsi="黑体" w:eastAsia="黑体"/>
          <w:sz w:val="18"/>
          <w:szCs w:val="18"/>
        </w:rPr>
        <w:t>公告。若投资者未选择退出本产品的，则视为已理解并接受管理人的相应变更。</w:t>
      </w:r>
    </w:p>
    <w:p>
      <w:pPr>
        <w:spacing w:line="360" w:lineRule="auto"/>
        <w:rPr>
          <w:bCs/>
          <w:sz w:val="24"/>
        </w:rPr>
      </w:pPr>
    </w:p>
    <w:p>
      <w:pPr>
        <w:pStyle w:val="2"/>
        <w:spacing w:before="0" w:after="0" w:line="360" w:lineRule="auto"/>
        <w:jc w:val="center"/>
        <w:rPr>
          <w:rFonts w:ascii="Times New Roman"/>
          <w:b w:val="0"/>
          <w:sz w:val="30"/>
        </w:rPr>
      </w:pPr>
      <w:bookmarkStart w:id="210" w:name="_Toc92377141"/>
      <w:bookmarkStart w:id="211" w:name="_Toc79154675"/>
      <w:bookmarkStart w:id="212" w:name="_Toc8020"/>
      <w:bookmarkStart w:id="213" w:name="_Toc184"/>
      <w:bookmarkStart w:id="214" w:name="_Toc30149"/>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10"/>
      <w:bookmarkEnd w:id="211"/>
      <w:bookmarkEnd w:id="212"/>
      <w:bookmarkEnd w:id="213"/>
      <w:bookmarkEnd w:id="214"/>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25"/>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延期终止风险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（盖章/线上确认）：</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投资者法定代表人或授权代理人（签名/盖章/线上确认）：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34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p>
    <w:pPr>
      <w:pStyle w:val="15"/>
      <w:pBdr>
        <w:bottom w:val="none" w:color="auto" w:sz="0" w:space="0"/>
      </w:pBdr>
      <w:jc w:val="right"/>
      <w:rPr>
        <w:rFonts w:ascii="Times New Roman" w:hAnsi="Times New Roman" w:cs="Times New Roman"/>
        <w:b/>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dit="readOnly" w:enforcement="1" w:cryptProviderType="rsaAES" w:cryptAlgorithmClass="hash" w:cryptAlgorithmType="typeAny" w:cryptAlgorithmSid="14" w:cryptSpinCount="100000" w:hash="s/I7peyFzPO5kmE0Xly5QePTOCNomRgWdMReD/VtctlinshRAoYsHUa7rusOFr1X9z0V6l957AL//SMqsxoV6w==" w:salt="sjjqyOcRegTsDtYQuWT5u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77CD3"/>
    <w:rsid w:val="00080277"/>
    <w:rsid w:val="0008037A"/>
    <w:rsid w:val="00080815"/>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A7CA7"/>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063E0"/>
    <w:rsid w:val="0011092D"/>
    <w:rsid w:val="00111430"/>
    <w:rsid w:val="00112922"/>
    <w:rsid w:val="001139C8"/>
    <w:rsid w:val="001157E6"/>
    <w:rsid w:val="00115A4C"/>
    <w:rsid w:val="00116240"/>
    <w:rsid w:val="00117B0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AA"/>
    <w:rsid w:val="001D03C8"/>
    <w:rsid w:val="001D06D0"/>
    <w:rsid w:val="001D0990"/>
    <w:rsid w:val="001D1354"/>
    <w:rsid w:val="001D1C72"/>
    <w:rsid w:val="001D1D5B"/>
    <w:rsid w:val="001D2824"/>
    <w:rsid w:val="001D2F98"/>
    <w:rsid w:val="001D3E8B"/>
    <w:rsid w:val="001D4AC9"/>
    <w:rsid w:val="001D4BC1"/>
    <w:rsid w:val="001D570A"/>
    <w:rsid w:val="001D688E"/>
    <w:rsid w:val="001E14FD"/>
    <w:rsid w:val="001E291D"/>
    <w:rsid w:val="001E461E"/>
    <w:rsid w:val="001E54CE"/>
    <w:rsid w:val="001E61BD"/>
    <w:rsid w:val="001E6BA6"/>
    <w:rsid w:val="001E6C14"/>
    <w:rsid w:val="001E70FE"/>
    <w:rsid w:val="001E77D6"/>
    <w:rsid w:val="001E794F"/>
    <w:rsid w:val="001F00E4"/>
    <w:rsid w:val="001F08F9"/>
    <w:rsid w:val="001F4671"/>
    <w:rsid w:val="001F5C9E"/>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367DD"/>
    <w:rsid w:val="00240FA8"/>
    <w:rsid w:val="00242CDB"/>
    <w:rsid w:val="0024357F"/>
    <w:rsid w:val="0024456C"/>
    <w:rsid w:val="0024625D"/>
    <w:rsid w:val="0024745C"/>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295"/>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2F7CC5"/>
    <w:rsid w:val="00301106"/>
    <w:rsid w:val="003029FF"/>
    <w:rsid w:val="0030325C"/>
    <w:rsid w:val="00304C4E"/>
    <w:rsid w:val="00304D9D"/>
    <w:rsid w:val="00306DA6"/>
    <w:rsid w:val="0031156D"/>
    <w:rsid w:val="003122D5"/>
    <w:rsid w:val="00313E17"/>
    <w:rsid w:val="003141DA"/>
    <w:rsid w:val="0031739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451B"/>
    <w:rsid w:val="00387255"/>
    <w:rsid w:val="00387E86"/>
    <w:rsid w:val="00391268"/>
    <w:rsid w:val="00391BBC"/>
    <w:rsid w:val="00392F32"/>
    <w:rsid w:val="0039407B"/>
    <w:rsid w:val="00394CA1"/>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7B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1A3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28F"/>
    <w:rsid w:val="00452527"/>
    <w:rsid w:val="00453F94"/>
    <w:rsid w:val="0045405E"/>
    <w:rsid w:val="0045524D"/>
    <w:rsid w:val="00455720"/>
    <w:rsid w:val="00455EFB"/>
    <w:rsid w:val="00455FA5"/>
    <w:rsid w:val="00456516"/>
    <w:rsid w:val="00461E0D"/>
    <w:rsid w:val="00462328"/>
    <w:rsid w:val="00462D9E"/>
    <w:rsid w:val="004636D8"/>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73F"/>
    <w:rsid w:val="004D3932"/>
    <w:rsid w:val="004D5055"/>
    <w:rsid w:val="004D5AAF"/>
    <w:rsid w:val="004D5BE2"/>
    <w:rsid w:val="004D5E18"/>
    <w:rsid w:val="004D6163"/>
    <w:rsid w:val="004D6C75"/>
    <w:rsid w:val="004E17EB"/>
    <w:rsid w:val="004E1D4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22CC"/>
    <w:rsid w:val="0054383E"/>
    <w:rsid w:val="00544067"/>
    <w:rsid w:val="00544689"/>
    <w:rsid w:val="005448AE"/>
    <w:rsid w:val="00544EBF"/>
    <w:rsid w:val="0054752F"/>
    <w:rsid w:val="005477FF"/>
    <w:rsid w:val="005514EA"/>
    <w:rsid w:val="0055180E"/>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17FF1"/>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5773"/>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0942"/>
    <w:rsid w:val="006A1579"/>
    <w:rsid w:val="006A2358"/>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5CB6"/>
    <w:rsid w:val="006C7218"/>
    <w:rsid w:val="006C75F7"/>
    <w:rsid w:val="006C7E9B"/>
    <w:rsid w:val="006D0BDE"/>
    <w:rsid w:val="006D0F3C"/>
    <w:rsid w:val="006D13DD"/>
    <w:rsid w:val="006D160E"/>
    <w:rsid w:val="006D3D10"/>
    <w:rsid w:val="006D4093"/>
    <w:rsid w:val="006D4430"/>
    <w:rsid w:val="006D586E"/>
    <w:rsid w:val="006D6C20"/>
    <w:rsid w:val="006D6D74"/>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17479"/>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1DF1"/>
    <w:rsid w:val="0077274B"/>
    <w:rsid w:val="00775691"/>
    <w:rsid w:val="00775E75"/>
    <w:rsid w:val="00780770"/>
    <w:rsid w:val="00783025"/>
    <w:rsid w:val="00784BFC"/>
    <w:rsid w:val="0078739B"/>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721"/>
    <w:rsid w:val="007B3CAC"/>
    <w:rsid w:val="007B435B"/>
    <w:rsid w:val="007B7A50"/>
    <w:rsid w:val="007B7E70"/>
    <w:rsid w:val="007C0495"/>
    <w:rsid w:val="007C67CB"/>
    <w:rsid w:val="007C7E5C"/>
    <w:rsid w:val="007D115D"/>
    <w:rsid w:val="007D1185"/>
    <w:rsid w:val="007D37FB"/>
    <w:rsid w:val="007D3AB0"/>
    <w:rsid w:val="007D3C57"/>
    <w:rsid w:val="007D6324"/>
    <w:rsid w:val="007D68C9"/>
    <w:rsid w:val="007D6F94"/>
    <w:rsid w:val="007D7B84"/>
    <w:rsid w:val="007E1F76"/>
    <w:rsid w:val="007E31AB"/>
    <w:rsid w:val="007E3453"/>
    <w:rsid w:val="007E3857"/>
    <w:rsid w:val="007E4180"/>
    <w:rsid w:val="007E4A3F"/>
    <w:rsid w:val="007E5D3B"/>
    <w:rsid w:val="007E6E94"/>
    <w:rsid w:val="007E775F"/>
    <w:rsid w:val="007F19E2"/>
    <w:rsid w:val="007F2369"/>
    <w:rsid w:val="007F2A00"/>
    <w:rsid w:val="007F2DEA"/>
    <w:rsid w:val="007F353C"/>
    <w:rsid w:val="007F42B0"/>
    <w:rsid w:val="007F557D"/>
    <w:rsid w:val="007F5D9C"/>
    <w:rsid w:val="007F66E1"/>
    <w:rsid w:val="008002FC"/>
    <w:rsid w:val="008016A7"/>
    <w:rsid w:val="00801ED9"/>
    <w:rsid w:val="00802399"/>
    <w:rsid w:val="008027C8"/>
    <w:rsid w:val="00803922"/>
    <w:rsid w:val="00804D31"/>
    <w:rsid w:val="008051DC"/>
    <w:rsid w:val="008055B4"/>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6B26"/>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5AB"/>
    <w:rsid w:val="008740D8"/>
    <w:rsid w:val="0087506B"/>
    <w:rsid w:val="0087693A"/>
    <w:rsid w:val="00876C63"/>
    <w:rsid w:val="00876D94"/>
    <w:rsid w:val="0089069E"/>
    <w:rsid w:val="00890C79"/>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1A6D"/>
    <w:rsid w:val="008D2BA4"/>
    <w:rsid w:val="008D45A6"/>
    <w:rsid w:val="008D4CB3"/>
    <w:rsid w:val="008D5CDB"/>
    <w:rsid w:val="008D643C"/>
    <w:rsid w:val="008D6554"/>
    <w:rsid w:val="008D7B65"/>
    <w:rsid w:val="008D7E71"/>
    <w:rsid w:val="008E0B20"/>
    <w:rsid w:val="008E584F"/>
    <w:rsid w:val="008E5E8B"/>
    <w:rsid w:val="008E6072"/>
    <w:rsid w:val="008E6640"/>
    <w:rsid w:val="008F2669"/>
    <w:rsid w:val="008F2710"/>
    <w:rsid w:val="008F432E"/>
    <w:rsid w:val="008F50BB"/>
    <w:rsid w:val="008F5567"/>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18D2"/>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2BE5"/>
    <w:rsid w:val="009A418D"/>
    <w:rsid w:val="009A520C"/>
    <w:rsid w:val="009A75FE"/>
    <w:rsid w:val="009B137E"/>
    <w:rsid w:val="009B2144"/>
    <w:rsid w:val="009B2D08"/>
    <w:rsid w:val="009B6315"/>
    <w:rsid w:val="009B6C73"/>
    <w:rsid w:val="009C1A02"/>
    <w:rsid w:val="009C4645"/>
    <w:rsid w:val="009C59F9"/>
    <w:rsid w:val="009C63B1"/>
    <w:rsid w:val="009C6C6F"/>
    <w:rsid w:val="009D0173"/>
    <w:rsid w:val="009D0895"/>
    <w:rsid w:val="009D21F6"/>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714"/>
    <w:rsid w:val="00AB3C03"/>
    <w:rsid w:val="00AB50AF"/>
    <w:rsid w:val="00AB52EA"/>
    <w:rsid w:val="00AB5EF6"/>
    <w:rsid w:val="00AB7B14"/>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52E7"/>
    <w:rsid w:val="00AE68F6"/>
    <w:rsid w:val="00AE6E54"/>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E6F"/>
    <w:rsid w:val="00BC3D6F"/>
    <w:rsid w:val="00BC4C6A"/>
    <w:rsid w:val="00BC57F5"/>
    <w:rsid w:val="00BC782B"/>
    <w:rsid w:val="00BD18DC"/>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6A10"/>
    <w:rsid w:val="00BF757A"/>
    <w:rsid w:val="00C017FF"/>
    <w:rsid w:val="00C01FBD"/>
    <w:rsid w:val="00C02090"/>
    <w:rsid w:val="00C022E9"/>
    <w:rsid w:val="00C03970"/>
    <w:rsid w:val="00C04AA0"/>
    <w:rsid w:val="00C060B9"/>
    <w:rsid w:val="00C06806"/>
    <w:rsid w:val="00C069F3"/>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65C"/>
    <w:rsid w:val="00C368EE"/>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047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2C3"/>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17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016"/>
    <w:rsid w:val="00E035A1"/>
    <w:rsid w:val="00E03911"/>
    <w:rsid w:val="00E049CB"/>
    <w:rsid w:val="00E04D19"/>
    <w:rsid w:val="00E05B4C"/>
    <w:rsid w:val="00E07967"/>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2A8E"/>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638F"/>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635A"/>
    <w:rsid w:val="00EC7BA7"/>
    <w:rsid w:val="00ED0CB1"/>
    <w:rsid w:val="00ED230B"/>
    <w:rsid w:val="00ED3570"/>
    <w:rsid w:val="00ED368F"/>
    <w:rsid w:val="00ED3B71"/>
    <w:rsid w:val="00ED4A3F"/>
    <w:rsid w:val="00ED4FDE"/>
    <w:rsid w:val="00ED6D87"/>
    <w:rsid w:val="00EE1DB5"/>
    <w:rsid w:val="00EE3357"/>
    <w:rsid w:val="00EF00C9"/>
    <w:rsid w:val="00EF09C3"/>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324"/>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145A"/>
    <w:rsid w:val="00F555B0"/>
    <w:rsid w:val="00F6162A"/>
    <w:rsid w:val="00F66759"/>
    <w:rsid w:val="00F66D5C"/>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48F3"/>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42A3"/>
    <w:rsid w:val="00FC4330"/>
    <w:rsid w:val="00FC55F9"/>
    <w:rsid w:val="00FC5650"/>
    <w:rsid w:val="00FC60D4"/>
    <w:rsid w:val="00FC77AE"/>
    <w:rsid w:val="00FC7D9F"/>
    <w:rsid w:val="00FD2BAD"/>
    <w:rsid w:val="00FD2F51"/>
    <w:rsid w:val="00FD330C"/>
    <w:rsid w:val="00FD3660"/>
    <w:rsid w:val="00FD484C"/>
    <w:rsid w:val="00FD49D6"/>
    <w:rsid w:val="00FD5230"/>
    <w:rsid w:val="00FD55FB"/>
    <w:rsid w:val="00FD569D"/>
    <w:rsid w:val="00FD678B"/>
    <w:rsid w:val="00FD6903"/>
    <w:rsid w:val="00FE1ADC"/>
    <w:rsid w:val="00FE225D"/>
    <w:rsid w:val="00FE4989"/>
    <w:rsid w:val="00FE56E3"/>
    <w:rsid w:val="00FE5C3E"/>
    <w:rsid w:val="00FF0A2F"/>
    <w:rsid w:val="00FF1B04"/>
    <w:rsid w:val="00FF22F8"/>
    <w:rsid w:val="01654C82"/>
    <w:rsid w:val="020A6A96"/>
    <w:rsid w:val="02763D6A"/>
    <w:rsid w:val="027744AD"/>
    <w:rsid w:val="03512BEC"/>
    <w:rsid w:val="0356786B"/>
    <w:rsid w:val="046E31C1"/>
    <w:rsid w:val="056C4F65"/>
    <w:rsid w:val="06DC01DA"/>
    <w:rsid w:val="06F4696E"/>
    <w:rsid w:val="07245E56"/>
    <w:rsid w:val="089A06AF"/>
    <w:rsid w:val="092C24F8"/>
    <w:rsid w:val="09B63F7A"/>
    <w:rsid w:val="0A8C1B58"/>
    <w:rsid w:val="0B71187A"/>
    <w:rsid w:val="0C023D8C"/>
    <w:rsid w:val="0C225D7B"/>
    <w:rsid w:val="0C6B687B"/>
    <w:rsid w:val="0CAB789C"/>
    <w:rsid w:val="0D511E56"/>
    <w:rsid w:val="0DC8792A"/>
    <w:rsid w:val="0E01723A"/>
    <w:rsid w:val="0E9022D3"/>
    <w:rsid w:val="0E94232E"/>
    <w:rsid w:val="0F1306D5"/>
    <w:rsid w:val="108957DB"/>
    <w:rsid w:val="110F0E2D"/>
    <w:rsid w:val="11295396"/>
    <w:rsid w:val="12F56293"/>
    <w:rsid w:val="12F716E1"/>
    <w:rsid w:val="163A1B23"/>
    <w:rsid w:val="163E2FB7"/>
    <w:rsid w:val="17622796"/>
    <w:rsid w:val="181C08FC"/>
    <w:rsid w:val="19F32D28"/>
    <w:rsid w:val="1A3D2A94"/>
    <w:rsid w:val="1A48157B"/>
    <w:rsid w:val="1AAA799F"/>
    <w:rsid w:val="1B9930ED"/>
    <w:rsid w:val="1BD70953"/>
    <w:rsid w:val="1BF87698"/>
    <w:rsid w:val="1C674667"/>
    <w:rsid w:val="1D3F2644"/>
    <w:rsid w:val="1E585AB7"/>
    <w:rsid w:val="1E8075A1"/>
    <w:rsid w:val="1E865137"/>
    <w:rsid w:val="1EB160C2"/>
    <w:rsid w:val="1FA97B1F"/>
    <w:rsid w:val="1FE07882"/>
    <w:rsid w:val="1FF145B9"/>
    <w:rsid w:val="2193546F"/>
    <w:rsid w:val="24342D08"/>
    <w:rsid w:val="25AF30EE"/>
    <w:rsid w:val="25F92CC2"/>
    <w:rsid w:val="26F50BA9"/>
    <w:rsid w:val="27005B64"/>
    <w:rsid w:val="27BD5E26"/>
    <w:rsid w:val="285E4249"/>
    <w:rsid w:val="29026D00"/>
    <w:rsid w:val="29AF0175"/>
    <w:rsid w:val="2BB57CB6"/>
    <w:rsid w:val="2BBC4506"/>
    <w:rsid w:val="2C202A0C"/>
    <w:rsid w:val="2CEF67B1"/>
    <w:rsid w:val="2CF86F57"/>
    <w:rsid w:val="2EA644DF"/>
    <w:rsid w:val="2FB532A0"/>
    <w:rsid w:val="301261B1"/>
    <w:rsid w:val="302A1668"/>
    <w:rsid w:val="307F34CE"/>
    <w:rsid w:val="319C4BEA"/>
    <w:rsid w:val="338472B6"/>
    <w:rsid w:val="34B50D9E"/>
    <w:rsid w:val="34C829B2"/>
    <w:rsid w:val="35042109"/>
    <w:rsid w:val="35381804"/>
    <w:rsid w:val="36146FAD"/>
    <w:rsid w:val="38051411"/>
    <w:rsid w:val="386A3F56"/>
    <w:rsid w:val="38777E2D"/>
    <w:rsid w:val="39494273"/>
    <w:rsid w:val="3A810EF7"/>
    <w:rsid w:val="3A842191"/>
    <w:rsid w:val="3ACF0F3F"/>
    <w:rsid w:val="3B7626CB"/>
    <w:rsid w:val="3C3802E9"/>
    <w:rsid w:val="3DA51C15"/>
    <w:rsid w:val="3DC16BC6"/>
    <w:rsid w:val="3E586AB8"/>
    <w:rsid w:val="3E5C1B1D"/>
    <w:rsid w:val="3EAE14E9"/>
    <w:rsid w:val="3F247759"/>
    <w:rsid w:val="3FD261A6"/>
    <w:rsid w:val="407C0C49"/>
    <w:rsid w:val="42EB2F9C"/>
    <w:rsid w:val="45226963"/>
    <w:rsid w:val="477C2F5C"/>
    <w:rsid w:val="499C5ED6"/>
    <w:rsid w:val="49CF7D54"/>
    <w:rsid w:val="4D39606F"/>
    <w:rsid w:val="4D7250D6"/>
    <w:rsid w:val="4E506DAE"/>
    <w:rsid w:val="4F137BD5"/>
    <w:rsid w:val="4F8E3D4D"/>
    <w:rsid w:val="51025CC6"/>
    <w:rsid w:val="51E971E2"/>
    <w:rsid w:val="524D1644"/>
    <w:rsid w:val="52B715AE"/>
    <w:rsid w:val="53063B85"/>
    <w:rsid w:val="533C1961"/>
    <w:rsid w:val="53B3493A"/>
    <w:rsid w:val="54560EDE"/>
    <w:rsid w:val="5537323C"/>
    <w:rsid w:val="55855837"/>
    <w:rsid w:val="55E83741"/>
    <w:rsid w:val="56503211"/>
    <w:rsid w:val="598B567E"/>
    <w:rsid w:val="5A4D46CD"/>
    <w:rsid w:val="5AC1413B"/>
    <w:rsid w:val="5C624734"/>
    <w:rsid w:val="5CC2197C"/>
    <w:rsid w:val="5E1452FD"/>
    <w:rsid w:val="5E3F6945"/>
    <w:rsid w:val="5F3E4BF2"/>
    <w:rsid w:val="5FE91ABC"/>
    <w:rsid w:val="60EB32EA"/>
    <w:rsid w:val="61941605"/>
    <w:rsid w:val="61CF16A9"/>
    <w:rsid w:val="628E734C"/>
    <w:rsid w:val="62BD3A82"/>
    <w:rsid w:val="63CD71D4"/>
    <w:rsid w:val="6580603B"/>
    <w:rsid w:val="66A34D18"/>
    <w:rsid w:val="67020774"/>
    <w:rsid w:val="682A44E1"/>
    <w:rsid w:val="68C7223A"/>
    <w:rsid w:val="68EF6886"/>
    <w:rsid w:val="69867C07"/>
    <w:rsid w:val="6A345708"/>
    <w:rsid w:val="6AA91074"/>
    <w:rsid w:val="6AAD6877"/>
    <w:rsid w:val="6B3F3089"/>
    <w:rsid w:val="6C167A34"/>
    <w:rsid w:val="6C2B2E22"/>
    <w:rsid w:val="6DB1503F"/>
    <w:rsid w:val="6EAA049A"/>
    <w:rsid w:val="6EAA7DFD"/>
    <w:rsid w:val="6EE25628"/>
    <w:rsid w:val="6FDD1093"/>
    <w:rsid w:val="709C0126"/>
    <w:rsid w:val="74EF7505"/>
    <w:rsid w:val="76022652"/>
    <w:rsid w:val="768501BE"/>
    <w:rsid w:val="76C8601E"/>
    <w:rsid w:val="77150144"/>
    <w:rsid w:val="78852984"/>
    <w:rsid w:val="798738A2"/>
    <w:rsid w:val="79E61650"/>
    <w:rsid w:val="7B426088"/>
    <w:rsid w:val="7BEA1CFE"/>
    <w:rsid w:val="7D803772"/>
    <w:rsid w:val="7D80556D"/>
    <w:rsid w:val="7E3713F1"/>
    <w:rsid w:val="7ED86E63"/>
    <w:rsid w:val="7F5534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字符"/>
    <w:basedOn w:val="26"/>
    <w:link w:val="15"/>
    <w:qFormat/>
    <w:uiPriority w:val="99"/>
    <w:rPr>
      <w:sz w:val="18"/>
      <w:szCs w:val="18"/>
    </w:rPr>
  </w:style>
  <w:style w:type="character" w:customStyle="1" w:styleId="33">
    <w:name w:val="页脚 字符"/>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字符"/>
    <w:basedOn w:val="26"/>
    <w:link w:val="8"/>
    <w:qFormat/>
    <w:uiPriority w:val="99"/>
    <w:rPr>
      <w:rFonts w:ascii="宋体" w:hAnsi="宋体" w:eastAsia="宋体" w:cs="宋体"/>
      <w:kern w:val="0"/>
      <w:sz w:val="24"/>
      <w:szCs w:val="24"/>
    </w:rPr>
  </w:style>
  <w:style w:type="character" w:customStyle="1" w:styleId="37">
    <w:name w:val="批注框文本 字符"/>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字符"/>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字符"/>
    <w:basedOn w:val="36"/>
    <w:link w:val="23"/>
    <w:qFormat/>
    <w:uiPriority w:val="99"/>
    <w:rPr>
      <w:rFonts w:ascii="宋体" w:hAnsi="宋体" w:eastAsia="宋体" w:cs="宋体"/>
      <w:b/>
      <w:bCs/>
      <w:kern w:val="0"/>
      <w:sz w:val="24"/>
      <w:szCs w:val="24"/>
    </w:rPr>
  </w:style>
  <w:style w:type="character" w:customStyle="1" w:styleId="43">
    <w:name w:val="HTML 预设格式 字符"/>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字符"/>
    <w:basedOn w:val="26"/>
    <w:link w:val="3"/>
    <w:qFormat/>
    <w:uiPriority w:val="0"/>
    <w:rPr>
      <w:rFonts w:ascii="Arial" w:hAnsi="Arial" w:eastAsia="黑体" w:cs="Times New Roman"/>
      <w:b/>
      <w:kern w:val="2"/>
      <w:sz w:val="32"/>
    </w:rPr>
  </w:style>
  <w:style w:type="character" w:customStyle="1" w:styleId="50">
    <w:name w:val="标题 3 字符"/>
    <w:basedOn w:val="26"/>
    <w:link w:val="4"/>
    <w:qFormat/>
    <w:uiPriority w:val="0"/>
    <w:rPr>
      <w:rFonts w:ascii="Times New Roman" w:hAnsi="Times New Roman" w:cs="Times New Roman"/>
      <w:b/>
      <w:kern w:val="2"/>
      <w:sz w:val="32"/>
    </w:rPr>
  </w:style>
  <w:style w:type="character" w:customStyle="1" w:styleId="51">
    <w:name w:val="标题 4 字符"/>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字符"/>
    <w:link w:val="22"/>
    <w:qFormat/>
    <w:uiPriority w:val="0"/>
    <w:rPr>
      <w:rFonts w:ascii="Cambria" w:hAnsi="Cambria"/>
      <w:b/>
      <w:kern w:val="2"/>
      <w:sz w:val="32"/>
    </w:rPr>
  </w:style>
  <w:style w:type="character" w:customStyle="1" w:styleId="55">
    <w:name w:val="正文文本 字符"/>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字符"/>
    <w:basedOn w:val="26"/>
    <w:link w:val="7"/>
    <w:qFormat/>
    <w:uiPriority w:val="0"/>
    <w:rPr>
      <w:rFonts w:ascii="Times New Roman" w:hAnsi="Times New Roman" w:cs="Times New Roman"/>
      <w:kern w:val="2"/>
      <w:sz w:val="21"/>
      <w:shd w:val="clear" w:color="auto" w:fill="000080"/>
    </w:rPr>
  </w:style>
  <w:style w:type="character" w:customStyle="1" w:styleId="63">
    <w:name w:val="纯文本 字符"/>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字符"/>
    <w:basedOn w:val="26"/>
    <w:link w:val="18"/>
    <w:qFormat/>
    <w:uiPriority w:val="0"/>
    <w:rPr>
      <w:rFonts w:ascii="Times New Roman" w:hAnsi="Times New Roman" w:cs="Times New Roman"/>
      <w:color w:val="0000FF"/>
      <w:kern w:val="2"/>
      <w:sz w:val="21"/>
    </w:rPr>
  </w:style>
  <w:style w:type="character" w:customStyle="1" w:styleId="70">
    <w:name w:val="正文文本缩进 2 字符"/>
    <w:basedOn w:val="26"/>
    <w:link w:val="12"/>
    <w:qFormat/>
    <w:uiPriority w:val="0"/>
    <w:rPr>
      <w:rFonts w:ascii="仿宋_GB2312" w:hAnsi="Times New Roman" w:eastAsia="仿宋_GB2312" w:cs="Times New Roman"/>
      <w:kern w:val="2"/>
      <w:sz w:val="28"/>
    </w:rPr>
  </w:style>
  <w:style w:type="character" w:customStyle="1" w:styleId="71">
    <w:name w:val="脚注文本 字符"/>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108FF18-8EC8-4170-A536-1AA8E39CC797}">
  <ds:schemaRefs/>
</ds:datastoreItem>
</file>

<file path=customXml/itemProps11.xml><?xml version="1.0" encoding="utf-8"?>
<ds:datastoreItem xmlns:ds="http://schemas.openxmlformats.org/officeDocument/2006/customXml" ds:itemID="{509BA638-9D3A-4AA3-A169-FF78BC0E4BE9}">
  <ds:schemaRefs/>
</ds:datastoreItem>
</file>

<file path=customXml/itemProps12.xml><?xml version="1.0" encoding="utf-8"?>
<ds:datastoreItem xmlns:ds="http://schemas.openxmlformats.org/officeDocument/2006/customXml" ds:itemID="{2A564346-BCA8-4B81-89B9-B65338D1A2C8}">
  <ds:schemaRefs/>
</ds:datastoreItem>
</file>

<file path=customXml/itemProps13.xml><?xml version="1.0" encoding="utf-8"?>
<ds:datastoreItem xmlns:ds="http://schemas.openxmlformats.org/officeDocument/2006/customXml" ds:itemID="{A06CD169-7F5C-4082-81B2-6ECAA9AF6149}">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0A7AA9EF-3B8C-4BAA-9155-A6E3E5337D3C}">
  <ds:schemaRefs/>
</ds:datastoreItem>
</file>

<file path=customXml/itemProps16.xml><?xml version="1.0" encoding="utf-8"?>
<ds:datastoreItem xmlns:ds="http://schemas.openxmlformats.org/officeDocument/2006/customXml" ds:itemID="{CF487381-D648-48A1-B1E4-A4540B0D3650}">
  <ds:schemaRefs/>
</ds:datastoreItem>
</file>

<file path=customXml/itemProps17.xml><?xml version="1.0" encoding="utf-8"?>
<ds:datastoreItem xmlns:ds="http://schemas.openxmlformats.org/officeDocument/2006/customXml" ds:itemID="{7E5C9D84-6DB6-48FB-8632-D5279FC233C8}">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D902962D-C8CC-43BF-804A-CD60AE6D7475}">
  <ds:schemaRefs/>
</ds:datastoreItem>
</file>

<file path=customXml/itemProps3.xml><?xml version="1.0" encoding="utf-8"?>
<ds:datastoreItem xmlns:ds="http://schemas.openxmlformats.org/officeDocument/2006/customXml" ds:itemID="{BEEE0313-55EB-45FA-BBBD-C0232D367255}">
  <ds:schemaRefs/>
</ds:datastoreItem>
</file>

<file path=customXml/itemProps4.xml><?xml version="1.0" encoding="utf-8"?>
<ds:datastoreItem xmlns:ds="http://schemas.openxmlformats.org/officeDocument/2006/customXml" ds:itemID="{AC86F3EB-DB57-4B60-8A7E-BBB67A22EE0B}">
  <ds:schemaRefs/>
</ds:datastoreItem>
</file>

<file path=customXml/itemProps5.xml><?xml version="1.0" encoding="utf-8"?>
<ds:datastoreItem xmlns:ds="http://schemas.openxmlformats.org/officeDocument/2006/customXml" ds:itemID="{1990A2D8-324F-45D5-B9CD-07245ED2860B}">
  <ds:schemaRefs/>
</ds:datastoreItem>
</file>

<file path=customXml/itemProps6.xml><?xml version="1.0" encoding="utf-8"?>
<ds:datastoreItem xmlns:ds="http://schemas.openxmlformats.org/officeDocument/2006/customXml" ds:itemID="{9114D43D-ED98-4C7B-A3AE-26D78B80CA82}">
  <ds:schemaRefs/>
</ds:datastoreItem>
</file>

<file path=customXml/itemProps7.xml><?xml version="1.0" encoding="utf-8"?>
<ds:datastoreItem xmlns:ds="http://schemas.openxmlformats.org/officeDocument/2006/customXml" ds:itemID="{1A3BDF38-4832-4575-A8AB-7A1679738229}">
  <ds:schemaRefs/>
</ds:datastoreItem>
</file>

<file path=customXml/itemProps8.xml><?xml version="1.0" encoding="utf-8"?>
<ds:datastoreItem xmlns:ds="http://schemas.openxmlformats.org/officeDocument/2006/customXml" ds:itemID="{79B37214-9E52-4241-8DD2-9E9CD9442006}">
  <ds:schemaRefs/>
</ds:datastoreItem>
</file>

<file path=customXml/itemProps9.xml><?xml version="1.0" encoding="utf-8"?>
<ds:datastoreItem xmlns:ds="http://schemas.openxmlformats.org/officeDocument/2006/customXml" ds:itemID="{3A3C3A8D-C5E4-45AF-8B48-C3BF528808A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40</Pages>
  <Words>4409</Words>
  <Characters>25134</Characters>
  <Lines>209</Lines>
  <Paragraphs>58</Paragraphs>
  <TotalTime>1</TotalTime>
  <ScaleCrop>false</ScaleCrop>
  <LinksUpToDate>false</LinksUpToDate>
  <CharactersWithSpaces>29485</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2024-08-28T12:34:00Z</dcterms:created>
  <dc:creator>张淼雯</dc:creator>
  <cp:lastModifiedBy>姚霖钰-960811</cp:lastModifiedBy>
  <cp:lastPrinted>2022-01-18T08:37:00Z</cp:lastPrinted>
  <dcterms:modified xsi:type="dcterms:W3CDTF">2025-10-31T05:00:00Z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5466F5ED04264CD88390FDC4DDCA6BAE</vt:lpwstr>
  </property>
</Properties>
</file>