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兴银理财【稳添利最短持有期日开固收类】理财产品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兴银理财【稳添利最短持有期日开固收类】理财产品（代理）销售协议书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兴银理财【稳添利最短持有期日开固收类】理财产品投资者权益须知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兴银理财【稳添利最短持有期日开固收类】理财产品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112264"/>
      <w:bookmarkStart w:id="6" w:name="_Toc139992302"/>
      <w:bookmarkStart w:id="7" w:name="_Toc139991727"/>
      <w:bookmarkStart w:id="8" w:name="_Toc123112225"/>
      <w:bookmarkStart w:id="9" w:name="_Toc12370138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w:t>
      </w:r>
      <w:bookmarkStart w:id="10" w:name="file_year"/>
      <w:bookmarkEnd w:id="10"/>
      <w:r>
        <w:rPr>
          <w:rStyle w:val="10"/>
          <w:rFonts w:hint="eastAsia" w:ascii="宋体" w:hAnsi="宋体"/>
          <w:sz w:val="28"/>
          <w:szCs w:val="28"/>
          <w:lang w:eastAsia="zh-CN"/>
        </w:rPr>
        <w:t>2025</w:t>
      </w:r>
      <w:r>
        <w:rPr>
          <w:rStyle w:val="10"/>
          <w:rFonts w:hint="eastAsia" w:ascii="宋体" w:hAnsi="宋体"/>
          <w:sz w:val="28"/>
          <w:szCs w:val="28"/>
        </w:rPr>
        <w:t>】年【</w:t>
      </w:r>
      <w:bookmarkStart w:id="11" w:name="file_month"/>
      <w:bookmarkEnd w:id="11"/>
      <w:r>
        <w:rPr>
          <w:rStyle w:val="10"/>
          <w:rFonts w:hint="eastAsia" w:ascii="宋体" w:hAnsi="宋体"/>
          <w:sz w:val="28"/>
          <w:szCs w:val="28"/>
          <w:lang w:val="en-US" w:eastAsia="zh-CN"/>
        </w:rPr>
        <w:t>11</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6"/>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701386"/>
      <w:bookmarkStart w:id="13" w:name="_Toc123112227"/>
      <w:bookmarkStart w:id="14" w:name="_Toc139991729"/>
      <w:bookmarkStart w:id="15"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6" w:name="pro_name"/>
            <w:bookmarkEnd w:id="16"/>
            <w:r>
              <w:rPr>
                <w:rFonts w:hint="eastAsia" w:ascii="宋体" w:hAnsi="宋体"/>
                <w:sz w:val="18"/>
                <w:szCs w:val="18"/>
                <w:lang w:eastAsia="zh-CN"/>
              </w:rPr>
              <w:t>兴银理财稳添利月盈73号(1个月最短持有期)日开固收类理财产品</w:t>
            </w:r>
            <w:r>
              <w:rPr>
                <w:rFonts w:hint="eastAsia"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eastAsia="宋体"/>
                <w:sz w:val="18"/>
                <w:szCs w:val="18"/>
                <w:lang w:eastAsia="zh-CN"/>
              </w:rPr>
            </w:pPr>
            <w:bookmarkStart w:id="17" w:name="sale_name"/>
            <w:bookmarkEnd w:id="17"/>
            <w:r>
              <w:rPr>
                <w:rFonts w:hint="eastAsia" w:ascii="宋体" w:hAnsi="宋体"/>
                <w:sz w:val="18"/>
                <w:szCs w:val="18"/>
                <w:lang w:eastAsia="zh-CN"/>
              </w:rPr>
              <w:t>【稳添利月盈增利73号B】（适用【</w:t>
            </w:r>
            <w:r>
              <w:rPr>
                <w:rFonts w:hint="eastAsia" w:ascii="宋体" w:hAnsi="宋体"/>
                <w:sz w:val="18"/>
                <w:szCs w:val="18"/>
                <w:lang w:val="en-US" w:eastAsia="zh-CN"/>
              </w:rPr>
              <w:t>B</w:t>
            </w:r>
            <w:r>
              <w:rPr>
                <w:rFonts w:hint="eastAsia" w:ascii="宋体" w:hAnsi="宋体"/>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bookmarkStart w:id="18" w:name="regist_code"/>
            <w:bookmarkEnd w:id="18"/>
            <w:r>
              <w:rPr>
                <w:rFonts w:hint="eastAsia" w:ascii="宋体" w:hAnsi="宋体"/>
                <w:sz w:val="18"/>
                <w:szCs w:val="18"/>
                <w:lang w:eastAsia="zh-CN"/>
              </w:rPr>
              <w:t>Z7002025001399</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bookmarkStart w:id="19" w:name="pro_code"/>
            <w:bookmarkEnd w:id="19"/>
            <w:r>
              <w:rPr>
                <w:rFonts w:hint="eastAsia" w:ascii="宋体" w:hAnsi="宋体"/>
                <w:color w:val="000000" w:themeColor="text1"/>
                <w:sz w:val="18"/>
                <w:szCs w:val="18"/>
                <w:lang w:eastAsia="zh-CN"/>
                <w14:textFill>
                  <w14:solidFill>
                    <w14:schemeClr w14:val="tx1"/>
                  </w14:solidFill>
                </w14:textFill>
              </w:rPr>
              <w:t>9K430730</w:t>
            </w:r>
            <w:r>
              <w:rPr>
                <w:rFonts w:ascii="宋体" w:hAnsi="宋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20" w:lineRule="exact"/>
              <w:jc w:val="left"/>
              <w:rPr>
                <w:rFonts w:hint="eastAsia" w:ascii="宋体" w:hAnsi="宋体" w:eastAsia="宋体"/>
                <w:color w:val="000000" w:themeColor="text1"/>
                <w:sz w:val="18"/>
                <w:szCs w:val="18"/>
                <w:lang w:eastAsia="zh-CN"/>
                <w14:textFill>
                  <w14:solidFill>
                    <w14:schemeClr w14:val="tx1"/>
                  </w14:solidFill>
                </w14:textFill>
              </w:rPr>
            </w:pPr>
            <w:bookmarkStart w:id="20" w:name="sale_code"/>
            <w:bookmarkEnd w:id="20"/>
            <w:r>
              <w:rPr>
                <w:rFonts w:hint="eastAsia" w:ascii="宋体" w:hAnsi="宋体"/>
                <w:color w:val="000000" w:themeColor="text1"/>
                <w:sz w:val="18"/>
                <w:szCs w:val="18"/>
                <w:lang w:eastAsia="zh-CN"/>
                <w14:textFill>
                  <w14:solidFill>
                    <w14:schemeClr w14:val="tx1"/>
                  </w14:solidFill>
                </w14:textFill>
              </w:rPr>
              <w:t>【9K43073B】（适用【</w:t>
            </w:r>
            <w:r>
              <w:rPr>
                <w:rFonts w:hint="eastAsia" w:ascii="宋体" w:hAnsi="宋体"/>
                <w:color w:val="000000" w:themeColor="text1"/>
                <w:sz w:val="18"/>
                <w:szCs w:val="18"/>
                <w:lang w:val="en-US" w:eastAsia="zh-CN"/>
                <w14:textFill>
                  <w14:solidFill>
                    <w14:schemeClr w14:val="tx1"/>
                  </w14:solidFill>
                </w14:textFill>
              </w:rPr>
              <w:t>B</w:t>
            </w:r>
            <w:r>
              <w:rPr>
                <w:rFonts w:hint="eastAsia" w:ascii="宋体" w:hAnsi="宋体"/>
                <w:color w:val="000000" w:themeColor="text1"/>
                <w:sz w:val="18"/>
                <w:szCs w:val="18"/>
                <w:lang w:eastAsia="zh-CN"/>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2"/>
    <w:bookmarkEnd w:id="13"/>
    <w:bookmarkEnd w:id="14"/>
    <w:bookmarkEnd w:id="15"/>
    <w:p>
      <w:pPr>
        <w:pStyle w:val="2"/>
        <w:spacing w:before="0" w:after="0"/>
        <w:jc w:val="center"/>
        <w:rPr>
          <w:rFonts w:ascii="Times New Roman"/>
          <w:color w:val="auto"/>
          <w:sz w:val="30"/>
        </w:rPr>
      </w:pPr>
      <w:bookmarkStart w:id="21" w:name="_Toc123112268"/>
      <w:bookmarkStart w:id="22" w:name="_Toc6306"/>
      <w:bookmarkStart w:id="23" w:name="_Toc23386"/>
      <w:bookmarkStart w:id="24" w:name="_Toc4966"/>
      <w:bookmarkStart w:id="25" w:name="_Toc30935"/>
      <w:bookmarkStart w:id="26" w:name="_Toc139991730"/>
      <w:bookmarkStart w:id="27" w:name="_Toc29629"/>
      <w:bookmarkStart w:id="28" w:name="_Toc4867"/>
      <w:bookmarkStart w:id="29" w:name="_Toc15517"/>
      <w:bookmarkStart w:id="30" w:name="_Toc8727"/>
      <w:bookmarkStart w:id="31" w:name="_Toc123112229"/>
      <w:bookmarkStart w:id="32" w:name="_Toc141703880"/>
      <w:bookmarkStart w:id="33" w:name="_Toc123701389"/>
      <w:bookmarkStart w:id="34" w:name="_Toc32639"/>
      <w:bookmarkStart w:id="35" w:name="_Toc26897"/>
      <w:bookmarkStart w:id="36" w:name="_Toc11962"/>
      <w:bookmarkStart w:id="37" w:name="_Toc74065738"/>
      <w:bookmarkStart w:id="38" w:name="_Toc233456271"/>
      <w:r>
        <w:rPr>
          <w:rFonts w:hint="eastAsia" w:ascii="Times New Roman"/>
          <w:color w:val="auto"/>
          <w:sz w:val="30"/>
        </w:rPr>
        <w:t>第一条</w:t>
      </w:r>
      <w:r>
        <w:rPr>
          <w:rFonts w:ascii="Times New Roman"/>
          <w:color w:val="auto"/>
          <w:sz w:val="30"/>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9" w:name="_Toc3224"/>
      <w:bookmarkStart w:id="40" w:name="_Toc2465"/>
      <w:bookmarkStart w:id="41" w:name="_Toc19592"/>
      <w:bookmarkStart w:id="42" w:name="_Toc22864"/>
      <w:bookmarkStart w:id="43" w:name="_Toc6617"/>
      <w:bookmarkStart w:id="44" w:name="_Toc819"/>
      <w:bookmarkStart w:id="45" w:name="_Toc13020"/>
      <w:bookmarkStart w:id="46" w:name="_Toc24860"/>
      <w:bookmarkStart w:id="47" w:name="_Toc15067"/>
      <w:bookmarkStart w:id="48" w:name="_Toc21301"/>
      <w:bookmarkStart w:id="49" w:name="_Toc258829399"/>
      <w:r>
        <w:rPr>
          <w:rFonts w:hint="eastAsia" w:ascii="Times New Roman"/>
          <w:color w:val="auto"/>
          <w:sz w:val="30"/>
        </w:rPr>
        <w:t>前言</w:t>
      </w:r>
      <w:bookmarkEnd w:id="36"/>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50" w:name="_Toc59965743"/>
      <w:r>
        <w:rPr>
          <w:rFonts w:hint="eastAsia" w:ascii="宋体" w:hAnsi="宋体"/>
          <w:sz w:val="18"/>
          <w:szCs w:val="18"/>
        </w:rPr>
        <w:t>《商业银行理财子公司管理办法》</w:t>
      </w:r>
      <w:bookmarkEnd w:id="50"/>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7"/>
    <w:p>
      <w:pPr>
        <w:widowControl/>
        <w:spacing w:line="360" w:lineRule="auto"/>
        <w:jc w:val="left"/>
      </w:pPr>
      <w:r>
        <w:br w:type="page"/>
      </w:r>
    </w:p>
    <w:p>
      <w:pPr>
        <w:pStyle w:val="2"/>
        <w:spacing w:before="0" w:after="0"/>
        <w:jc w:val="center"/>
        <w:rPr>
          <w:rFonts w:ascii="Times New Roman"/>
          <w:color w:val="auto"/>
          <w:sz w:val="30"/>
        </w:rPr>
      </w:pPr>
      <w:bookmarkStart w:id="51" w:name="_Toc12429"/>
      <w:bookmarkStart w:id="52"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51"/>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8"/>
    <w:bookmarkEnd w:id="39"/>
    <w:bookmarkEnd w:id="40"/>
    <w:bookmarkEnd w:id="41"/>
    <w:bookmarkEnd w:id="42"/>
    <w:bookmarkEnd w:id="43"/>
    <w:bookmarkEnd w:id="44"/>
    <w:bookmarkEnd w:id="45"/>
    <w:bookmarkEnd w:id="46"/>
    <w:bookmarkEnd w:id="47"/>
    <w:bookmarkEnd w:id="48"/>
    <w:bookmarkEnd w:id="49"/>
    <w:bookmarkEnd w:id="52"/>
    <w:p>
      <w:pPr>
        <w:pStyle w:val="2"/>
        <w:spacing w:before="0" w:after="0"/>
        <w:jc w:val="center"/>
        <w:rPr>
          <w:rFonts w:ascii="Times New Roman"/>
          <w:sz w:val="30"/>
        </w:rPr>
      </w:pPr>
      <w:bookmarkStart w:id="53" w:name="_Toc706"/>
      <w:bookmarkStart w:id="54" w:name="_Toc6149"/>
      <w:bookmarkStart w:id="55" w:name="_Toc74065740"/>
      <w:bookmarkStart w:id="56" w:name="_Toc18631"/>
      <w:bookmarkStart w:id="57" w:name="_Toc6683"/>
      <w:bookmarkStart w:id="58" w:name="_Toc545"/>
      <w:bookmarkStart w:id="59" w:name="_Toc22708"/>
      <w:bookmarkStart w:id="60" w:name="_Toc13288"/>
      <w:bookmarkStart w:id="61" w:name="_Toc733"/>
      <w:bookmarkStart w:id="62" w:name="_Toc24571"/>
      <w:bookmarkStart w:id="63" w:name="_Toc20627"/>
      <w:bookmarkStart w:id="64" w:name="_Toc20318"/>
      <w:bookmarkStart w:id="65" w:name="_Toc233456272"/>
      <w:bookmarkStart w:id="66" w:name="_Toc258829400"/>
      <w:r>
        <w:rPr>
          <w:rFonts w:hint="eastAsia" w:ascii="Times New Roman"/>
          <w:color w:val="auto"/>
          <w:sz w:val="30"/>
        </w:rPr>
        <w:t>第三条</w:t>
      </w:r>
      <w:r>
        <w:rPr>
          <w:rFonts w:ascii="Times New Roman"/>
          <w:color w:val="auto"/>
          <w:sz w:val="30"/>
        </w:rPr>
        <w:t xml:space="preserve">  不可抗力</w:t>
      </w:r>
      <w:bookmarkEnd w:id="53"/>
    </w:p>
    <w:bookmarkEnd w:id="54"/>
    <w:bookmarkEnd w:id="55"/>
    <w:bookmarkEnd w:id="56"/>
    <w:bookmarkEnd w:id="57"/>
    <w:bookmarkEnd w:id="58"/>
    <w:bookmarkEnd w:id="59"/>
    <w:bookmarkEnd w:id="60"/>
    <w:bookmarkEnd w:id="61"/>
    <w:bookmarkEnd w:id="62"/>
    <w:bookmarkEnd w:id="63"/>
    <w:bookmarkEnd w:id="64"/>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7"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7"/>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8" w:name="_Toc29618"/>
      <w:r>
        <w:rPr>
          <w:rFonts w:hint="eastAsia" w:ascii="Times New Roman"/>
          <w:color w:val="auto"/>
          <w:sz w:val="30"/>
        </w:rPr>
        <w:t>第五条</w:t>
      </w:r>
      <w:r>
        <w:rPr>
          <w:rFonts w:ascii="Times New Roman"/>
          <w:color w:val="auto"/>
          <w:sz w:val="30"/>
        </w:rPr>
        <w:t xml:space="preserve">  法律适用和争议解决</w:t>
      </w:r>
      <w:bookmarkEnd w:id="68"/>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9"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9"/>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70" w:name="_Toc2935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5"/>
    <w:bookmarkEnd w:id="66"/>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r>
              <w:rPr>
                <w:rFonts w:hint="eastAsia" w:ascii="宋体" w:hAnsi="宋体" w:cs="宋体"/>
                <w:bCs/>
                <w:sz w:val="18"/>
                <w:szCs w:val="18"/>
              </w:rPr>
              <w:t>【】类</w:t>
            </w:r>
            <w:r>
              <w:rPr>
                <w:rFonts w:ascii="宋体" w:hAnsi="宋体" w:cs="宋体"/>
                <w:bCs/>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b/>
          <w:bCs/>
          <w:sz w:val="44"/>
          <w:szCs w:val="44"/>
        </w:rPr>
        <w:t>兴银理财【稳添利最短持有期日开固收类】理财产品</w:t>
      </w:r>
    </w:p>
    <w:p>
      <w:pPr>
        <w:adjustRightInd w:val="0"/>
        <w:spacing w:line="360" w:lineRule="auto"/>
        <w:jc w:val="center"/>
        <w:rPr>
          <w:rFonts w:ascii="黑体" w:hAnsi="黑体" w:eastAsia="黑体" w:cs="宋体"/>
          <w:sz w:val="44"/>
          <w:szCs w:val="44"/>
        </w:rPr>
      </w:pPr>
      <w:r>
        <w:rPr>
          <w:rFonts w:hint="eastAsia" w:ascii="黑体" w:hAnsi="黑体" w:eastAsia="黑体"/>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w:t>
      </w:r>
      <w:r>
        <w:rPr>
          <w:rFonts w:hint="eastAsia" w:ascii="宋体" w:hAnsi="宋体" w:cs="Times New Roman"/>
          <w:b/>
          <w:bCs/>
          <w:sz w:val="32"/>
          <w:szCs w:val="32"/>
          <w:lang w:eastAsia="zh-CN"/>
        </w:rPr>
        <w:t>2025</w:t>
      </w:r>
      <w:r>
        <w:rPr>
          <w:rFonts w:hint="eastAsia" w:ascii="宋体" w:hAnsi="宋体" w:cs="Times New Roman"/>
          <w:b/>
          <w:bCs/>
          <w:sz w:val="32"/>
          <w:szCs w:val="32"/>
        </w:rPr>
        <w:t>】年【</w:t>
      </w:r>
      <w:r>
        <w:rPr>
          <w:rFonts w:hint="eastAsia" w:ascii="宋体" w:hAnsi="宋体" w:cs="Times New Roman"/>
          <w:b/>
          <w:bCs/>
          <w:sz w:val="32"/>
          <w:szCs w:val="32"/>
          <w:lang w:val="en-US" w:eastAsia="zh-CN"/>
        </w:rPr>
        <w:t>11</w:t>
      </w:r>
      <w:r>
        <w:rPr>
          <w:rFonts w:hint="eastAsia" w:ascii="宋体" w:hAnsi="宋体" w:cs="Times New Roman"/>
          <w:b/>
          <w:bCs/>
          <w:sz w:val="32"/>
          <w:szCs w:val="32"/>
        </w:rPr>
        <w:t>】月</w:t>
      </w:r>
    </w:p>
    <w:p>
      <w:pPr>
        <w:rPr>
          <w:rFonts w:ascii="宋体" w:hAnsi="宋体" w:cs="宋体"/>
          <w:sz w:val="32"/>
          <w:szCs w:val="32"/>
        </w:rPr>
      </w:pPr>
      <w:r>
        <w:rPr>
          <w:rFonts w:ascii="宋体" w:hAnsi="宋体"/>
          <w:b/>
          <w:bCs/>
          <w:sz w:val="32"/>
          <w:szCs w:val="32"/>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73"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"_Toc32762"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 xml:space="preserve">一条 </w:t>
          </w:r>
          <w:r>
            <w:rPr>
              <w:rFonts w:ascii="Times New Roman" w:hAnsi="Calibri" w:eastAsia="宋体" w:cs="宋体"/>
              <w:kern w:val="0"/>
              <w:sz w:val="22"/>
              <w:szCs w:val="22"/>
              <w:lang w:val="en-US" w:eastAsia="zh-CN" w:bidi="ar-SA"/>
            </w:rPr>
            <w:t xml:space="preserve"> 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_Toc32762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"_Toc1693" </w:instrText>
          </w:r>
          <w:r>
            <w:rPr>
              <w:rFonts w:ascii="Calibri" w:hAnsi="Calibri" w:eastAsia="宋体" w:cs="宋体"/>
              <w:kern w:val="0"/>
              <w:sz w:val="22"/>
              <w:szCs w:val="22"/>
              <w:lang w:val="en-US" w:eastAsia="zh-CN" w:bidi="ar-SA"/>
            </w:rPr>
            <w:fldChar w:fldCharType="separate"/>
          </w:r>
          <w:r>
            <w:rPr>
              <w:rFonts w:hint="eastAsia" w:ascii="Calibri" w:hAnsi="宋体" w:eastAsia="宋体" w:cs="宋体"/>
              <w:kern w:val="0"/>
              <w:sz w:val="22"/>
              <w:szCs w:val="28"/>
              <w:lang w:val="en-US" w:eastAsia="zh-CN" w:bidi="ar-SA"/>
            </w:rPr>
            <w:t xml:space="preserve">第二条  理财产品基本情况 </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_Toc1693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"_Toc10659"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三条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_Toc10659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"_Toc32177"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2"/>
              <w:lang w:val="en-US" w:eastAsia="zh-CN" w:bidi="ar-SA"/>
            </w:rPr>
            <w:t xml:space="preserve">第四条 </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_Toc32177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"_Toc25685"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五条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_Toc25685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"_Toc31087"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六条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_Toc31087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"_Toc19132"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8"/>
              <w:lang w:val="en-US" w:eastAsia="zh-CN" w:bidi="ar-SA"/>
            </w:rPr>
            <w:t>第七条</w:t>
          </w:r>
          <w:r>
            <w:rPr>
              <w:rFonts w:ascii="Times New Roman" w:hAnsi="Calibri" w:eastAsia="宋体" w:cs="宋体"/>
              <w:kern w:val="0"/>
              <w:sz w:val="22"/>
              <w:szCs w:val="28"/>
              <w:lang w:val="en-US" w:eastAsia="zh-CN" w:bidi="ar-SA"/>
            </w:rPr>
            <w:t xml:space="preserve">  </w:t>
          </w:r>
          <w:r>
            <w:rPr>
              <w:rFonts w:hint="eastAsia" w:ascii="Times New Roman" w:hAnsi="Calibri" w:eastAsia="宋体" w:cs="宋体"/>
              <w:kern w:val="0"/>
              <w:sz w:val="22"/>
              <w:szCs w:val="28"/>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_Toc19132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"_Toc8695"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八条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_Toc8695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"_Toc1043"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九条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_Toc1043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"_Toc2757" </w:instrText>
          </w:r>
          <w:r>
            <w:rPr>
              <w:rFonts w:ascii="Calibri" w:hAnsi="Calibri" w:eastAsia="宋体" w:cs="宋体"/>
              <w:kern w:val="0"/>
              <w:sz w:val="22"/>
              <w:szCs w:val="22"/>
              <w:lang w:val="en-US" w:eastAsia="zh-CN" w:bidi="ar-SA"/>
            </w:rPr>
            <w:fldChar w:fldCharType="separate"/>
          </w:r>
          <w:r>
            <w:rPr>
              <w:rFonts w:hint="eastAsia" w:ascii="Calibri" w:hAnsi="Calibri" w:eastAsia="宋体" w:cs="宋体"/>
              <w:kern w:val="0"/>
              <w:sz w:val="22"/>
              <w:szCs w:val="22"/>
              <w:lang w:val="en-US" w:eastAsia="zh-CN" w:bidi="ar-SA"/>
            </w:rPr>
            <w:t>第十条</w:t>
          </w:r>
          <w:r>
            <w:rPr>
              <w:rFonts w:ascii="Calibri" w:hAnsi="Calibri" w:eastAsia="宋体" w:cs="宋体"/>
              <w:kern w:val="0"/>
              <w:sz w:val="22"/>
              <w:szCs w:val="22"/>
              <w:lang w:val="en-US" w:eastAsia="zh-CN" w:bidi="ar-SA"/>
            </w:rPr>
            <w:t xml:space="preserve">  </w:t>
          </w:r>
          <w:r>
            <w:rPr>
              <w:rFonts w:hint="eastAsia" w:ascii="Calibri" w:hAnsi="Calibri" w:eastAsia="宋体" w:cs="宋体"/>
              <w:kern w:val="0"/>
              <w:sz w:val="22"/>
              <w:szCs w:val="22"/>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"_Toc593"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8"/>
              <w:lang w:val="en-US" w:eastAsia="zh-CN" w:bidi="ar-SA"/>
            </w:rPr>
            <w:t>第十一条</w:t>
          </w:r>
          <w:r>
            <w:rPr>
              <w:rFonts w:ascii="Times New Roman" w:hAnsi="Calibri" w:eastAsia="宋体" w:cs="宋体"/>
              <w:kern w:val="0"/>
              <w:sz w:val="22"/>
              <w:szCs w:val="28"/>
              <w:lang w:val="en-US" w:eastAsia="zh-CN" w:bidi="ar-SA"/>
            </w:rPr>
            <w:t xml:space="preserve">  </w:t>
          </w:r>
          <w:r>
            <w:rPr>
              <w:rFonts w:hint="eastAsia" w:ascii="Times New Roman" w:hAnsi="Calibri" w:eastAsia="宋体" w:cs="宋体"/>
              <w:kern w:val="0"/>
              <w:sz w:val="22"/>
              <w:szCs w:val="28"/>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_Toc593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"_Toc184"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2"/>
              <w:lang w:val="en-US" w:eastAsia="zh-CN" w:bidi="ar-SA"/>
            </w:rPr>
            <w:t>第十二条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w:t>
          </w:r>
          <w:r>
            <w:rPr>
              <w:rFonts w:ascii="Times New Roman" w:hAnsi="Calibri" w:eastAsia="宋体" w:cs="宋体"/>
              <w:kern w:val="0"/>
              <w:sz w:val="22"/>
              <w:szCs w:val="22"/>
              <w:lang w:val="en-US" w:eastAsia="zh-CN" w:bidi="ar-SA"/>
            </w:rPr>
            <w:t>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_Toc184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4" w:name="_Toc32762"/>
      <w:bookmarkStart w:id="75" w:name="_Toc26572"/>
      <w:bookmarkStart w:id="76" w:name="_Toc29814"/>
      <w:bookmarkStart w:id="77" w:name="_Toc92377130"/>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73"/>
      <w:bookmarkEnd w:id="74"/>
      <w:bookmarkEnd w:id="75"/>
      <w:bookmarkEnd w:id="76"/>
      <w:bookmarkEnd w:id="7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：指兴业银行股份有限公司（以下简称</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兴业银行</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）。兴业银行成立于</w:t>
      </w:r>
      <w:r>
        <w:rPr>
          <w:rFonts w:ascii="宋体" w:hAnsi="宋体" w:eastAsia="宋体" w:cs="宋体"/>
          <w:bCs/>
          <w:color w:val="auto"/>
          <w:sz w:val="18"/>
          <w:szCs w:val="18"/>
          <w:lang w:val="en-US" w:eastAsia="zh-CN" w:bidi="ar-SA"/>
        </w:rPr>
        <w:t>1988年，于2005年开展资产托管业务，具备理财产品托管资格。</w:t>
      </w:r>
      <w:r>
        <w:rPr>
          <w:rFonts w:hint="eastAsia" w:ascii="宋体" w:hAnsi="宋体" w:eastAsia="宋体" w:cs="宋体"/>
          <w:bCs/>
          <w:color w:val="auto"/>
          <w:sz w:val="18"/>
          <w:szCs w:val="18"/>
          <w:lang w:val="en-US" w:eastAsia="zh-CN" w:bidi="ar-SA"/>
        </w:rPr>
        <w:t>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监管部门</w:t>
      </w:r>
      <w:r>
        <w:rPr>
          <w:rFonts w:ascii="宋体" w:hAnsi="宋体" w:eastAsia="宋体" w:cs="宋体"/>
          <w:bCs/>
          <w:color w:val="auto"/>
          <w:sz w:val="18"/>
          <w:szCs w:val="18"/>
          <w:lang w:val="en-US" w:eastAsia="zh-CN" w:bidi="ar-SA"/>
        </w:rPr>
        <w:t>认定的其他业务活动。各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：指产品管理人向投资者提供的，用于描述产品特征，约定权利义务的文件。具体指《兴银理财【稳添利最短持有期日开固收类】理财产品销售文件》，包括《投资协议书》《产品说明书》《（代理）销售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《投资协议书》：指管理人统一编制的《兴银理财【稳添利最短持有期日开固收类】理财产品投资协议书》，以及对该文件的有效修改或补充。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）《产品说明书》：指管理人统一编制的《兴银理财【稳添利最短持有期日开固收类】理财产品产品说明书》，以及对该文件的有效修改或补充。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（4）《（代理）销售协议书》：指管理人统一编制的《兴银理财【稳添利最短持有期日开固收类】理财产品（代理）销售协议书》或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的《兴银理财【稳添利最短持有期日开固收类】理财产品（代理）销售协议书》（文件名称以代理销售机构实际编制为准），以及对该文件的有效修改或补充。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）《风险揭示书》：指管理人统一编制的《兴银理财【稳添利最短持有期日开固收类】理财产品风险揭示书》或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的《兴银理财【稳添利最短持有期日开固收类】理财产品风险揭示书》（文件名称以代理销售机构实际编制为准），以及对该文件的有效修改或补充。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）《投资者权益须知》：指管理人统一编制的《兴银理财【稳添利最短持有期日开固收类】理财产品投资者权益须知》或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《兴银理财【稳添利最短持有期日开固收类】理财产品投资者权益须知》（文件名称以代理销售机构实际编制为准），以及对该文件的有效修改或补充。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，为在理财产品销售管理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，为每类份额类别</w:t>
      </w:r>
      <w:r>
        <w:rPr>
          <w:rFonts w:ascii="宋体" w:hAnsi="宋体" w:eastAsia="宋体" w:cs="宋体"/>
          <w:bCs/>
          <w:color w:val="auto"/>
          <w:sz w:val="18"/>
          <w:szCs w:val="18"/>
          <w:lang w:val="en-US" w:eastAsia="zh-CN" w:bidi="ar-SA"/>
        </w:rPr>
        <w:t>设置</w:t>
      </w:r>
      <w:r>
        <w:rPr>
          <w:rFonts w:hint="eastAsia" w:ascii="宋体" w:hAnsi="宋体" w:eastAsia="宋体" w:cs="宋体"/>
          <w:bCs/>
          <w:color w:val="auto"/>
          <w:sz w:val="18"/>
          <w:szCs w:val="18"/>
          <w:lang w:val="en-US" w:eastAsia="zh-CN" w:bidi="ar-SA"/>
        </w:rPr>
        <w:t>的唯一性内部识别码。若本款理财产品不设置差异化产品份额类别，理财产品代码即为理财产品销售代码。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）适合投资者：指适合购买理财产品的投资者类型。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。投资者按该份额净值进行理财产品申购、赎回和终止时分配。理财</w:t>
      </w:r>
      <w:r>
        <w:rPr>
          <w:rFonts w:ascii="宋体" w:hAnsi="宋体" w:eastAsia="宋体" w:cs="宋体"/>
          <w:bCs/>
          <w:color w:val="auto"/>
          <w:sz w:val="18"/>
          <w:szCs w:val="18"/>
          <w:lang w:val="en-US" w:eastAsia="zh-CN" w:bidi="ar-SA"/>
        </w:rPr>
        <w:t>产品份额净值四舍五入保留5位小数。</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10</w:t>
      </w:r>
      <w:r>
        <w:rPr>
          <w:rFonts w:hint="eastAsia" w:ascii="宋体" w:hAnsi="宋体" w:eastAsia="宋体" w:cs="宋体"/>
          <w:bCs/>
          <w:color w:val="auto"/>
          <w:sz w:val="18"/>
          <w:szCs w:val="18"/>
          <w:lang w:val="en-US" w:eastAsia="zh-CN" w:bidi="ar-SA"/>
        </w:rPr>
        <w:t>）理财产品估值：指计算评估理财产品资产和理财产品负债的价值，以确定理财产品份额净值的过程。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宋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宋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宋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13</w:t>
      </w:r>
      <w:r>
        <w:rPr>
          <w:rFonts w:hint="eastAsia" w:ascii="宋体" w:hAnsi="宋体" w:eastAsia="宋体" w:cs="宋体"/>
          <w:bCs/>
          <w:color w:val="auto"/>
          <w:sz w:val="18"/>
          <w:szCs w:val="18"/>
          <w:lang w:val="en-US" w:eastAsia="zh-CN" w:bidi="ar-SA"/>
        </w:rPr>
        <w:t>）理财产品利益/理财利益：指投资者因持有理财产品份额，按照销售文件约定取得或有权取得的理财产品管理人分配的理财产品资产。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 xml:space="preserve">14）利益分配：指产品管理人向投资者进行理财产品利益分配。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 xml:space="preserve">15）期间分配：指在理财产品终止日（不含当日）前的理财产品利益分配。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16）终止分配：指在理财产品终止日当日及之后的理财产品利益分配。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17</w:t>
      </w:r>
      <w:r>
        <w:rPr>
          <w:rFonts w:hint="eastAsia" w:ascii="宋体" w:hAnsi="宋体" w:eastAsia="宋体" w:cs="宋体"/>
          <w:bCs/>
          <w:color w:val="auto"/>
          <w:sz w:val="18"/>
          <w:szCs w:val="18"/>
          <w:lang w:val="en-US" w:eastAsia="zh-CN" w:bidi="ar-SA"/>
        </w:rPr>
        <w:t>）认购：指投资者根据本销售文件约定在认购期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（20）巨额赎回：每个赎回日，本产品的净赎回申请（赎回申请份额总数扣除申购申请份额总数后的余额,下同）之和达到上一赎回日产品总份额的约定百分比，为巨额赎回。</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工作日：指国家法定工作日。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）成立日：指理财产品开始运作的日期。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）终止日：指理财产品终止的日期。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）★最短持有期:指自产品成立日/申购确认日起，投资者持有的产品份额被锁定持有的最短期间。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（12）产品存续期：指自理财产品成立日起，至理财产品终止日的期间。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（13）申购申请日：指投资者做出申购申请的当日。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（14）赎回申请日：指投资者做出赎回申请的当日。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5）申购日：指产品管理人接受投资者申购申请的当日。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6）赎回日：指产品管理人接受投资者赎回申请的当日。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7）申购确认日：指产品管理人确认投资者申购</w:t>
      </w:r>
      <w:r>
        <w:rPr>
          <w:rFonts w:ascii="宋体" w:hAnsi="宋体" w:eastAsia="宋体" w:cs="宋体"/>
          <w:bCs/>
          <w:color w:val="auto"/>
          <w:sz w:val="18"/>
          <w:szCs w:val="18"/>
          <w:lang w:val="en-US" w:eastAsia="zh-CN" w:bidi="ar-SA"/>
        </w:rPr>
        <w:t>申请有效性</w:t>
      </w:r>
      <w:r>
        <w:rPr>
          <w:rFonts w:hint="eastAsia" w:ascii="宋体" w:hAnsi="宋体" w:eastAsia="宋体" w:cs="宋体"/>
          <w:bCs/>
          <w:color w:val="auto"/>
          <w:sz w:val="18"/>
          <w:szCs w:val="18"/>
          <w:lang w:val="en-US" w:eastAsia="zh-CN" w:bidi="ar-SA"/>
        </w:rPr>
        <w:t>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8）赎回确认日：指产品管理人确认投资者赎回</w:t>
      </w:r>
      <w:r>
        <w:rPr>
          <w:rFonts w:ascii="宋体" w:hAnsi="宋体" w:eastAsia="宋体" w:cs="宋体"/>
          <w:bCs/>
          <w:color w:val="auto"/>
          <w:sz w:val="18"/>
          <w:szCs w:val="18"/>
          <w:lang w:val="en-US" w:eastAsia="zh-CN" w:bidi="ar-SA"/>
        </w:rPr>
        <w:t>申请有效性</w:t>
      </w:r>
      <w:r>
        <w:rPr>
          <w:rFonts w:hint="eastAsia" w:ascii="宋体" w:hAnsi="宋体" w:eastAsia="宋体" w:cs="宋体"/>
          <w:bCs/>
          <w:color w:val="auto"/>
          <w:sz w:val="18"/>
          <w:szCs w:val="18"/>
          <w:lang w:val="en-US" w:eastAsia="zh-CN" w:bidi="ar-SA"/>
        </w:rPr>
        <w:t>的当日。</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（2）</w:t>
      </w:r>
      <w:r>
        <w:rPr>
          <w:rFonts w:hint="eastAsia" w:ascii="黑体" w:hAnsi="黑体" w:eastAsia="黑体" w:cs="仿宋_GB2312"/>
          <w:bCs/>
          <w:sz w:val="18"/>
          <w:szCs w:val="18"/>
        </w:rPr>
        <w:t>★</w:t>
      </w:r>
      <w:r>
        <w:rPr>
          <w:rFonts w:ascii="宋体" w:hAnsi="宋体" w:cs="宋体"/>
          <w:kern w:val="0"/>
          <w:sz w:val="18"/>
          <w:szCs w:val="18"/>
        </w:rPr>
        <w:t>申购费：</w:t>
      </w:r>
      <w:r>
        <w:rPr>
          <w:rFonts w:hint="eastAsia" w:ascii="宋体" w:hAnsi="宋体" w:cs="宋体"/>
          <w:kern w:val="0"/>
          <w:sz w:val="18"/>
          <w:szCs w:val="18"/>
        </w:rPr>
        <w:t>指</w:t>
      </w:r>
      <w:r>
        <w:rPr>
          <w:rFonts w:ascii="宋体" w:hAnsi="宋体" w:cs="宋体"/>
          <w:kern w:val="0"/>
          <w:sz w:val="18"/>
          <w:szCs w:val="18"/>
        </w:rPr>
        <w:t>投资者申购产品时</w:t>
      </w:r>
      <w:r>
        <w:rPr>
          <w:rFonts w:hint="eastAsia" w:ascii="宋体" w:hAnsi="宋体" w:cs="宋体"/>
          <w:kern w:val="0"/>
          <w:sz w:val="18"/>
          <w:szCs w:val="18"/>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赎回费：指投资者赎回产品时需缴纳的费用。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（6）</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（7）</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spacing w:line="360" w:lineRule="auto"/>
        <w:ind w:firstLine="360" w:firstLineChars="200"/>
        <w:rPr>
          <w:rFonts w:ascii="宋体" w:hAnsi="宋体" w:cs="宋体"/>
          <w:color w:val="000000"/>
          <w:kern w:val="0"/>
          <w:sz w:val="28"/>
          <w:szCs w:val="2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sz w:val="18"/>
          <w:szCs w:val="18"/>
        </w:rPr>
        <w:t>理财登记托管中心、</w:t>
      </w:r>
      <w:r>
        <w:rPr>
          <w:rFonts w:hint="eastAsia" w:ascii="宋体" w:hAnsi="宋体" w:eastAsia="宋体" w:cs="宋体"/>
          <w:bCs/>
          <w:sz w:val="18"/>
          <w:szCs w:val="18"/>
        </w:rPr>
        <w:t>银行间交易商协会、证券交易所、证券登记结算机构、相关</w:t>
      </w:r>
      <w:r>
        <w:rPr>
          <w:rFonts w:ascii="宋体" w:hAnsi="宋体" w:eastAsia="宋体" w:cs="宋体"/>
          <w:bCs/>
          <w:sz w:val="18"/>
          <w:szCs w:val="18"/>
        </w:rPr>
        <w:t>行</w:t>
      </w:r>
      <w:r>
        <w:rPr>
          <w:rFonts w:hint="eastAsia" w:ascii="宋体" w:hAnsi="宋体" w:eastAsia="宋体" w:cs="宋体"/>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ascii="Calibri" w:hAnsi="宋体" w:cs="宋体"/>
          <w:sz w:val="28"/>
          <w:szCs w:val="28"/>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78" w:name="_Toc79154665"/>
      <w:bookmarkStart w:id="79" w:name="_Toc92377131"/>
      <w:bookmarkStart w:id="80" w:name="_Toc1693"/>
      <w:bookmarkStart w:id="81" w:name="_Toc30087"/>
      <w:bookmarkStart w:id="82" w:name="_Toc14559"/>
      <w:r>
        <w:rPr>
          <w:rFonts w:hint="eastAsia" w:ascii="Calibri" w:hAnsi="宋体" w:eastAsia="宋体" w:cs="宋体"/>
          <w:b/>
          <w:bCs/>
          <w:kern w:val="44"/>
          <w:sz w:val="28"/>
          <w:szCs w:val="28"/>
          <w:lang w:val="en-US" w:eastAsia="zh-CN" w:bidi="ar-SA"/>
        </w:rPr>
        <w:t>第二条  理财产品基本情况</w:t>
      </w:r>
      <w:bookmarkEnd w:id="78"/>
      <w:bookmarkEnd w:id="79"/>
      <w:r>
        <w:rPr>
          <w:rFonts w:hint="eastAsia" w:ascii="Calibri" w:hAnsi="宋体" w:eastAsia="宋体" w:cs="宋体"/>
          <w:b/>
          <w:bCs/>
          <w:kern w:val="44"/>
          <w:sz w:val="28"/>
          <w:szCs w:val="28"/>
          <w:lang w:val="en-US" w:eastAsia="zh-CN" w:bidi="ar-SA"/>
        </w:rPr>
        <w:t xml:space="preserve"> </w:t>
      </w:r>
      <w:bookmarkEnd w:id="80"/>
      <w:bookmarkEnd w:id="81"/>
      <w:bookmarkEnd w:id="82"/>
    </w:p>
    <w:tbl>
      <w:tblPr>
        <w:tblStyle w:val="7"/>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704" w:type="dxa"/>
            <w:shd w:val="solid" w:color="FFFFFF" w:fill="FFFFFF"/>
            <w:vAlign w:val="top"/>
          </w:tcPr>
          <w:p>
            <w:pPr>
              <w:spacing w:line="360" w:lineRule="auto"/>
              <w:jc w:val="left"/>
              <w:rPr>
                <w:rFonts w:ascii="宋体" w:hAnsi="宋体" w:cs="宋体"/>
                <w:bCs/>
                <w:sz w:val="18"/>
                <w:szCs w:val="18"/>
              </w:rPr>
            </w:pPr>
            <w:r>
              <w:rPr>
                <w:rFonts w:hint="eastAsia" w:ascii="宋体" w:hAnsi="宋体" w:cs="宋体"/>
                <w:sz w:val="18"/>
                <w:szCs w:val="18"/>
              </w:rPr>
              <w:t>【</w:t>
            </w:r>
            <w:r>
              <w:rPr>
                <w:rFonts w:hint="eastAsia" w:ascii="宋体" w:hAnsi="宋体" w:cs="宋体"/>
                <w:sz w:val="18"/>
                <w:szCs w:val="18"/>
                <w:lang w:eastAsia="zh-CN"/>
              </w:rPr>
              <w:t>兴银理财稳添利月盈73号(1个月最短持有期)日开固收类理财产品</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704" w:type="dxa"/>
            <w:shd w:val="solid" w:color="FFFFFF" w:fill="FFFFFF"/>
            <w:vAlign w:val="center"/>
          </w:tcPr>
          <w:p>
            <w:pPr>
              <w:spacing w:line="360" w:lineRule="auto"/>
              <w:jc w:val="left"/>
              <w:rPr>
                <w:rFonts w:hint="eastAsia" w:ascii="宋体" w:hAnsi="宋体" w:eastAsia="宋体" w:cs="宋体"/>
                <w:kern w:val="0"/>
                <w:sz w:val="18"/>
                <w:szCs w:val="18"/>
                <w:lang w:eastAsia="zh-CN"/>
              </w:rPr>
            </w:pPr>
            <w:r>
              <w:rPr>
                <w:rFonts w:hint="eastAsia" w:ascii="宋体" w:hAnsi="宋体" w:cs="宋体"/>
                <w:sz w:val="18"/>
                <w:szCs w:val="18"/>
                <w:lang w:eastAsia="zh-CN"/>
              </w:rPr>
              <w:t>【稳添利月盈增利73号B】（适用【</w:t>
            </w:r>
            <w:r>
              <w:rPr>
                <w:rFonts w:hint="eastAsia" w:ascii="宋体" w:hAnsi="宋体" w:cs="宋体"/>
                <w:sz w:val="18"/>
                <w:szCs w:val="18"/>
                <w:lang w:val="en-US" w:eastAsia="zh-CN"/>
              </w:rPr>
              <w:t>B</w:t>
            </w:r>
            <w:r>
              <w:rPr>
                <w:rFonts w:hint="eastAsia" w:ascii="宋体" w:hAnsi="宋体" w:cs="宋体"/>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704" w:type="dxa"/>
            <w:shd w:val="solid" w:color="FFFFFF" w:fill="FFFFFF"/>
            <w:vAlign w:val="top"/>
          </w:tcPr>
          <w:p>
            <w:pPr>
              <w:spacing w:line="360" w:lineRule="auto"/>
              <w:jc w:val="left"/>
              <w:rPr>
                <w:rFonts w:ascii="宋体" w:hAnsi="宋体" w:cs="宋体"/>
                <w:b/>
                <w:sz w:val="18"/>
                <w:szCs w:val="18"/>
              </w:rPr>
            </w:pPr>
            <w:r>
              <w:rPr>
                <w:rFonts w:hint="eastAsia" w:ascii="宋体" w:hAnsi="宋体" w:cs="宋体"/>
                <w:sz w:val="18"/>
                <w:szCs w:val="18"/>
              </w:rPr>
              <w:t>【</w:t>
            </w:r>
            <w:r>
              <w:rPr>
                <w:rFonts w:hint="eastAsia" w:ascii="宋体" w:hAnsi="宋体" w:cs="宋体"/>
                <w:sz w:val="18"/>
                <w:szCs w:val="18"/>
                <w:lang w:eastAsia="zh-CN"/>
              </w:rPr>
              <w:t>Z7002025001399</w:t>
            </w:r>
            <w:r>
              <w:rPr>
                <w:rFonts w:hint="eastAsia" w:ascii="宋体" w:hAnsi="宋体" w:cs="宋体"/>
                <w:sz w:val="18"/>
                <w:szCs w:val="18"/>
              </w:rPr>
              <w:t>】注：投资者可依据理财产品登记编码在中国理财网查询产品信息</w:t>
            </w:r>
            <w:r>
              <w:rPr>
                <w:rFonts w:ascii="Calibri" w:hAnsi="Calibri" w:cs="宋体"/>
                <w:szCs w:val="22"/>
              </w:rPr>
              <w:fldChar w:fldCharType="begin"/>
            </w:r>
            <w:r>
              <w:rPr>
                <w:rFonts w:ascii="Calibri" w:hAnsi="Calibri" w:cs="宋体"/>
                <w:szCs w:val="22"/>
              </w:rPr>
              <w:instrText xml:space="preserve"> HYPERLINK "http://www.chinawealth.com.cn" </w:instrText>
            </w:r>
            <w:r>
              <w:rPr>
                <w:rFonts w:ascii="Calibri" w:hAnsi="Calibri" w:cs="宋体"/>
                <w:szCs w:val="22"/>
              </w:rPr>
              <w:fldChar w:fldCharType="separate"/>
            </w:r>
            <w:r>
              <w:rPr>
                <w:rFonts w:ascii="宋体" w:hAnsi="宋体" w:cs="宋体"/>
                <w:sz w:val="18"/>
                <w:szCs w:val="18"/>
              </w:rPr>
              <w:t>www.chinawealth.com.cn</w:t>
            </w:r>
            <w:r>
              <w:rPr>
                <w:rFonts w:ascii="宋体" w:hAnsi="宋体" w:cs="宋体"/>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704" w:type="dxa"/>
            <w:shd w:val="solid" w:color="FFFFFF" w:fill="FFFFFF"/>
            <w:vAlign w:val="center"/>
          </w:tcPr>
          <w:p>
            <w:pPr>
              <w:spacing w:line="360" w:lineRule="auto"/>
              <w:jc w:val="left"/>
              <w:rPr>
                <w:rFonts w:ascii="宋体" w:hAnsi="宋体" w:cs="宋体"/>
                <w:bCs/>
                <w:sz w:val="18"/>
                <w:szCs w:val="18"/>
              </w:rPr>
            </w:pPr>
            <w:r>
              <w:rPr>
                <w:rFonts w:ascii="宋体" w:hAnsi="宋体" w:cs="宋体"/>
                <w:color w:val="000000"/>
                <w:sz w:val="18"/>
                <w:szCs w:val="18"/>
              </w:rPr>
              <w:t>【</w:t>
            </w:r>
            <w:r>
              <w:rPr>
                <w:rFonts w:hint="eastAsia" w:ascii="宋体" w:hAnsi="宋体" w:cs="宋体"/>
                <w:color w:val="000000"/>
                <w:sz w:val="18"/>
                <w:szCs w:val="18"/>
                <w:lang w:eastAsia="zh-CN"/>
              </w:rPr>
              <w:t>9K430730</w:t>
            </w:r>
            <w:r>
              <w:rPr>
                <w:rFonts w:ascii="宋体" w:hAnsi="宋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704" w:type="dxa"/>
            <w:shd w:val="solid" w:color="FFFFFF" w:fill="FFFFFF"/>
            <w:vAlign w:val="center"/>
          </w:tcPr>
          <w:p>
            <w:pPr>
              <w:spacing w:line="320" w:lineRule="exact"/>
              <w:jc w:val="left"/>
              <w:rPr>
                <w:rFonts w:hint="eastAsia" w:ascii="宋体" w:hAnsi="宋体" w:eastAsia="宋体" w:cs="宋体"/>
                <w:sz w:val="18"/>
                <w:szCs w:val="18"/>
                <w:lang w:eastAsia="zh-CN"/>
              </w:rPr>
            </w:pPr>
            <w:r>
              <w:rPr>
                <w:rFonts w:hint="eastAsia" w:ascii="宋体" w:hAnsi="宋体" w:cs="宋体"/>
                <w:color w:val="000000"/>
                <w:sz w:val="18"/>
                <w:szCs w:val="18"/>
                <w:lang w:eastAsia="zh-CN"/>
              </w:rPr>
              <w:t>【9K43073B】（适用【</w:t>
            </w:r>
            <w:r>
              <w:rPr>
                <w:rFonts w:hint="eastAsia" w:ascii="宋体" w:hAnsi="宋体" w:cs="宋体"/>
                <w:color w:val="000000"/>
                <w:sz w:val="18"/>
                <w:szCs w:val="18"/>
                <w:lang w:val="en-US" w:eastAsia="zh-CN"/>
              </w:rPr>
              <w:t>B</w:t>
            </w:r>
            <w:r>
              <w:rPr>
                <w:rFonts w:hint="eastAsia" w:ascii="宋体" w:hAnsi="宋体" w:cs="宋体"/>
                <w:color w:val="000000"/>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70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.本产品设置不同的理财产品份额，每类理财产品份额以下内容可能单独设置：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Cs/>
                <w:sz w:val="18"/>
                <w:szCs w:val="18"/>
              </w:rPr>
            </w:pPr>
            <w:r>
              <w:rPr>
                <w:rFonts w:hint="eastAsia" w:ascii="黑体" w:hAnsi="黑体" w:eastAsia="黑体" w:cs="宋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cs="宋体"/>
                <w:bCs/>
                <w:sz w:val="18"/>
                <w:szCs w:val="18"/>
              </w:rPr>
            </w:pPr>
            <w:r>
              <w:rPr>
                <w:rFonts w:hint="eastAsia" w:ascii="黑体" w:hAnsi="黑体" w:eastAsia="黑体" w:cs="宋体"/>
                <w:sz w:val="18"/>
                <w:szCs w:val="18"/>
              </w:rPr>
              <w:t>公募</w:t>
            </w:r>
            <w:r>
              <w:rPr>
                <w:rFonts w:hint="eastAsia" w:ascii="黑体" w:hAnsi="黑体" w:eastAsia="黑体" w:cs="宋体"/>
                <w:bCs/>
                <w:sz w:val="18"/>
                <w:szCs w:val="18"/>
              </w:rPr>
              <w:t>、开放式、固定收益类、非保本浮动</w:t>
            </w:r>
            <w:r>
              <w:rPr>
                <w:rFonts w:ascii="黑体" w:hAnsi="黑体" w:eastAsia="黑体" w:cs="宋体"/>
                <w:bCs/>
                <w:sz w:val="18"/>
                <w:szCs w:val="18"/>
              </w:rPr>
              <w:t>收益</w:t>
            </w:r>
            <w:r>
              <w:rPr>
                <w:rFonts w:hint="eastAsia" w:ascii="黑体" w:hAnsi="黑体" w:eastAsia="黑体" w:cs="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70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70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w:t>
            </w:r>
            <w:r>
              <w:rPr>
                <w:rFonts w:ascii="黑体" w:hAnsi="黑体" w:eastAsia="黑体" w:cs="宋体"/>
                <w:bCs/>
                <w:sz w:val="18"/>
                <w:szCs w:val="18"/>
              </w:rPr>
              <w:t>收益</w:t>
            </w:r>
            <w:r>
              <w:rPr>
                <w:rFonts w:hint="eastAsia" w:ascii="黑体" w:hAnsi="黑体" w:eastAsia="黑体" w:cs="宋体"/>
                <w:bCs/>
                <w:sz w:val="18"/>
                <w:szCs w:val="18"/>
              </w:rPr>
              <w:t>类</w:t>
            </w:r>
            <w:r>
              <w:rPr>
                <w:rFonts w:ascii="黑体" w:hAnsi="黑体" w:eastAsia="黑体" w:cs="宋体"/>
                <w:bCs/>
                <w:sz w:val="18"/>
                <w:szCs w:val="18"/>
              </w:rPr>
              <w:t>产品是指根据监管</w:t>
            </w:r>
            <w:r>
              <w:rPr>
                <w:rFonts w:hint="eastAsia" w:ascii="黑体" w:hAnsi="黑体" w:eastAsia="黑体" w:cs="宋体"/>
                <w:bCs/>
                <w:sz w:val="18"/>
                <w:szCs w:val="18"/>
              </w:rPr>
              <w:t>相关规定</w:t>
            </w:r>
            <w:r>
              <w:rPr>
                <w:rFonts w:ascii="黑体" w:hAnsi="黑体" w:eastAsia="黑体" w:cs="宋体"/>
                <w:bCs/>
                <w:sz w:val="18"/>
                <w:szCs w:val="18"/>
              </w:rPr>
              <w:t>，投资于债权类资产的</w:t>
            </w:r>
            <w:r>
              <w:rPr>
                <w:rFonts w:hint="eastAsia" w:ascii="黑体" w:hAnsi="黑体" w:eastAsia="黑体" w:cs="宋体"/>
                <w:bCs/>
                <w:sz w:val="18"/>
                <w:szCs w:val="18"/>
              </w:rPr>
              <w:t>比例</w:t>
            </w:r>
            <w:r>
              <w:rPr>
                <w:rFonts w:ascii="黑体" w:hAnsi="黑体" w:eastAsia="黑体" w:cs="宋体"/>
                <w:bCs/>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000000"/>
                <w:sz w:val="18"/>
                <w:szCs w:val="18"/>
              </w:rPr>
            </w:pPr>
            <w:r>
              <w:rPr>
                <w:rFonts w:hint="eastAsia" w:ascii="黑体" w:hAnsi="黑体" w:eastAsia="黑体" w:cs="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70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704" w:type="dxa"/>
            <w:shd w:val="solid" w:color="FFFFFF" w:fill="FFFFFF"/>
          </w:tcPr>
          <w:p>
            <w:pPr>
              <w:spacing w:line="360" w:lineRule="auto"/>
              <w:rPr>
                <w:rFonts w:ascii="宋体" w:hAnsi="宋体" w:eastAsia="宋体" w:cs="宋体"/>
                <w:bCs/>
                <w:sz w:val="18"/>
                <w:szCs w:val="18"/>
              </w:rPr>
            </w:pPr>
            <w:r>
              <w:rPr>
                <w:rFonts w:hint="eastAsia" w:ascii="宋体" w:hAnsi="宋体" w:eastAsia="宋体" w:cs="宋体"/>
                <w:bCs/>
                <w:sz w:val="18"/>
                <w:szCs w:val="18"/>
              </w:rPr>
              <w:t xml:space="preserve">本产品属于【□ </w:t>
            </w:r>
            <w:r>
              <w:rPr>
                <w:rFonts w:ascii="宋体" w:hAnsi="宋体" w:eastAsia="宋体" w:cs="宋体"/>
                <w:bCs/>
                <w:sz w:val="18"/>
                <w:szCs w:val="18"/>
              </w:rPr>
              <w:t>R1、</w:t>
            </w:r>
            <w:r>
              <w:rPr>
                <w:rFonts w:hint="eastAsia" w:ascii="宋体" w:hAnsi="宋体" w:eastAsia="宋体" w:cs="宋体"/>
                <w:bCs/>
                <w:sz w:val="18"/>
                <w:szCs w:val="18"/>
              </w:rPr>
              <w:t xml:space="preserve">■ </w:t>
            </w:r>
            <w:r>
              <w:rPr>
                <w:rFonts w:ascii="宋体" w:hAnsi="宋体" w:eastAsia="宋体" w:cs="宋体"/>
                <w:bCs/>
                <w:sz w:val="18"/>
                <w:szCs w:val="18"/>
              </w:rPr>
              <w:t>R2、</w:t>
            </w:r>
            <w:r>
              <w:rPr>
                <w:rFonts w:hint="eastAsia" w:ascii="宋体" w:hAnsi="宋体" w:eastAsia="宋体" w:cs="宋体"/>
                <w:bCs/>
                <w:sz w:val="18"/>
                <w:szCs w:val="18"/>
              </w:rPr>
              <w:t xml:space="preserve">□ </w:t>
            </w:r>
            <w:r>
              <w:rPr>
                <w:rFonts w:ascii="宋体" w:hAnsi="宋体" w:eastAsia="宋体" w:cs="宋体"/>
                <w:bCs/>
                <w:sz w:val="18"/>
                <w:szCs w:val="18"/>
              </w:rPr>
              <w:t>R3、</w:t>
            </w:r>
            <w:r>
              <w:rPr>
                <w:rFonts w:hint="eastAsia" w:ascii="宋体" w:hAnsi="宋体" w:eastAsia="宋体" w:cs="宋体"/>
                <w:bCs/>
                <w:sz w:val="18"/>
                <w:szCs w:val="18"/>
              </w:rPr>
              <w:t>□</w:t>
            </w:r>
            <w:r>
              <w:rPr>
                <w:rFonts w:ascii="宋体" w:hAnsi="宋体" w:eastAsia="宋体" w:cs="宋体"/>
                <w:bCs/>
                <w:sz w:val="18"/>
                <w:szCs w:val="18"/>
              </w:rPr>
              <w:t xml:space="preserve"> R4、</w:t>
            </w:r>
            <w:r>
              <w:rPr>
                <w:rFonts w:hint="eastAsia" w:ascii="宋体" w:hAnsi="宋体" w:eastAsia="宋体" w:cs="宋体"/>
                <w:bCs/>
                <w:sz w:val="18"/>
                <w:szCs w:val="18"/>
              </w:rPr>
              <w:t>□</w:t>
            </w:r>
            <w:r>
              <w:rPr>
                <w:rFonts w:ascii="宋体" w:hAnsi="宋体" w:eastAsia="宋体" w:cs="宋体"/>
                <w:bCs/>
                <w:sz w:val="18"/>
                <w:szCs w:val="18"/>
              </w:rPr>
              <w:t xml:space="preserve"> R5】理财产品</w:t>
            </w:r>
            <w:r>
              <w:rPr>
                <w:rFonts w:hint="eastAsia" w:ascii="宋体" w:hAnsi="宋体" w:eastAsia="宋体" w:cs="宋体"/>
                <w:bCs/>
                <w:sz w:val="18"/>
                <w:szCs w:val="18"/>
              </w:rPr>
              <w:t>。</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Cs/>
                <w:sz w:val="18"/>
                <w:szCs w:val="18"/>
              </w:rPr>
            </w:pPr>
            <w:r>
              <w:rPr>
                <w:rFonts w:hint="eastAsia" w:ascii="黑体" w:hAnsi="黑体" w:eastAsia="黑体" w:cs="宋体"/>
                <w:sz w:val="18"/>
                <w:szCs w:val="18"/>
              </w:rPr>
              <w:t>注</w:t>
            </w:r>
            <w:r>
              <w:rPr>
                <w:rFonts w:ascii="黑体" w:hAnsi="黑体" w:eastAsia="黑体" w:cs="宋体"/>
                <w:sz w:val="18"/>
                <w:szCs w:val="18"/>
              </w:rPr>
              <w:t>：</w:t>
            </w:r>
            <w:r>
              <w:rPr>
                <w:rFonts w:hint="eastAsia" w:ascii="黑体" w:hAnsi="黑体" w:eastAsia="黑体" w:cs="宋体"/>
                <w:sz w:val="18"/>
                <w:szCs w:val="18"/>
              </w:rPr>
              <w:t>若本</w:t>
            </w:r>
            <w:r>
              <w:rPr>
                <w:rFonts w:ascii="黑体" w:hAnsi="黑体" w:eastAsia="黑体" w:cs="宋体"/>
                <w:sz w:val="18"/>
                <w:szCs w:val="18"/>
              </w:rPr>
              <w:t>产品通过代理销售机构销售的，</w:t>
            </w:r>
            <w:r>
              <w:rPr>
                <w:rFonts w:hint="eastAsia" w:ascii="黑体" w:hAnsi="黑体" w:eastAsia="黑体" w:cs="宋体"/>
                <w:sz w:val="18"/>
                <w:szCs w:val="18"/>
              </w:rPr>
              <w:t>理财产品</w:t>
            </w:r>
            <w:r>
              <w:rPr>
                <w:rFonts w:ascii="黑体" w:hAnsi="黑体" w:eastAsia="黑体" w:cs="宋体"/>
                <w:sz w:val="18"/>
                <w:szCs w:val="18"/>
              </w:rPr>
              <w:t>评级</w:t>
            </w:r>
            <w:r>
              <w:rPr>
                <w:rFonts w:hint="eastAsia" w:ascii="黑体" w:hAnsi="黑体" w:eastAsia="黑体" w:cs="宋体"/>
                <w:sz w:val="18"/>
                <w:szCs w:val="18"/>
              </w:rPr>
              <w:t>以</w:t>
            </w:r>
            <w:r>
              <w:rPr>
                <w:rFonts w:ascii="黑体" w:hAnsi="黑体" w:eastAsia="黑体" w:cs="宋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704" w:type="dxa"/>
            <w:shd w:val="solid" w:color="FFFFFF" w:fill="FFFFFF"/>
            <w:vAlign w:val="bottom"/>
          </w:tcPr>
          <w:p>
            <w:pPr>
              <w:spacing w:line="360" w:lineRule="auto"/>
              <w:rPr>
                <w:rFonts w:ascii="宋体" w:hAnsi="宋体" w:eastAsia="宋体" w:cs="宋体"/>
                <w:bCs/>
                <w:color w:val="000000"/>
                <w:sz w:val="18"/>
                <w:szCs w:val="18"/>
              </w:rPr>
            </w:pPr>
            <w:r>
              <w:rPr>
                <w:rFonts w:hint="eastAsia" w:ascii="宋体" w:hAnsi="宋体" w:eastAsia="宋体" w:cs="宋体"/>
                <w:bCs/>
                <w:color w:val="000000"/>
                <w:sz w:val="18"/>
                <w:szCs w:val="18"/>
              </w:rPr>
              <w:t>本产品</w:t>
            </w:r>
            <w:r>
              <w:rPr>
                <w:rFonts w:ascii="宋体" w:hAnsi="宋体" w:eastAsia="宋体" w:cs="宋体"/>
                <w:bCs/>
                <w:color w:val="000000"/>
                <w:sz w:val="18"/>
                <w:szCs w:val="18"/>
              </w:rPr>
              <w:t>适合以下类型投资者：</w:t>
            </w:r>
            <w:r>
              <w:rPr>
                <w:rFonts w:hint="eastAsia" w:ascii="Calibri" w:hAnsi="宋体" w:cs="宋体"/>
                <w:sz w:val="18"/>
                <w:szCs w:val="18"/>
              </w:rPr>
              <w:t>（</w:t>
            </w:r>
            <w:r>
              <w:rPr>
                <w:rFonts w:hint="eastAsia" w:ascii="Calibri" w:hAnsi="宋体" w:cs="宋体"/>
                <w:sz w:val="18"/>
                <w:szCs w:val="18"/>
                <w:lang w:eastAsia="zh-CN"/>
              </w:rPr>
              <w:t>适用【B】类份额</w:t>
            </w:r>
            <w:r>
              <w:rPr>
                <w:rFonts w:hint="eastAsia" w:ascii="Calibri" w:hAnsi="宋体" w:cs="宋体"/>
                <w:sz w:val="18"/>
                <w:szCs w:val="18"/>
              </w:rPr>
              <w:t>）</w:t>
            </w:r>
          </w:p>
          <w:p>
            <w:pPr>
              <w:spacing w:line="360" w:lineRule="auto"/>
              <w:rPr>
                <w:rFonts w:hint="eastAsia" w:ascii="宋体" w:hAnsi="宋体" w:eastAsia="宋体" w:cs="宋体"/>
                <w:bCs/>
                <w:color w:val="000000"/>
                <w:sz w:val="18"/>
                <w:szCs w:val="18"/>
                <w:lang w:eastAsia="zh-CN"/>
              </w:rPr>
            </w:pPr>
            <w:bookmarkStart w:id="83" w:name="per_inv"/>
            <w:bookmarkEnd w:id="83"/>
            <w:r>
              <w:rPr>
                <w:rFonts w:hint="eastAsia" w:ascii="宋体" w:hAnsi="宋体" w:eastAsia="宋体" w:cs="宋体"/>
                <w:bCs/>
                <w:color w:val="000000"/>
                <w:sz w:val="18"/>
                <w:szCs w:val="18"/>
                <w:lang w:eastAsia="zh-CN"/>
              </w:rPr>
              <w:t>■个人投资者</w:t>
            </w:r>
          </w:p>
          <w:p>
            <w:pPr>
              <w:spacing w:line="360" w:lineRule="auto"/>
              <w:rPr>
                <w:rFonts w:hint="eastAsia" w:ascii="宋体" w:hAnsi="宋体" w:eastAsia="宋体" w:cs="宋体"/>
                <w:bCs/>
                <w:sz w:val="18"/>
                <w:szCs w:val="18"/>
                <w:lang w:eastAsia="zh-CN"/>
              </w:rPr>
            </w:pPr>
            <w:bookmarkStart w:id="84" w:name="ins_inv"/>
            <w:bookmarkEnd w:id="84"/>
            <w:r>
              <w:rPr>
                <w:rFonts w:hint="eastAsia" w:ascii="宋体" w:hAnsi="宋体" w:eastAsia="宋体" w:cs="宋体"/>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Cs/>
                <w:color w:val="000000"/>
                <w:sz w:val="18"/>
                <w:szCs w:val="18"/>
              </w:rPr>
            </w:pPr>
            <w:r>
              <w:rPr>
                <w:rFonts w:hint="eastAsia" w:ascii="黑体" w:hAnsi="黑体" w:eastAsia="黑体" w:cs="宋体"/>
                <w:bCs/>
                <w:sz w:val="18"/>
                <w:szCs w:val="18"/>
              </w:rPr>
              <w:t>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70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eastAsia="宋体" w:cs="宋体"/>
                <w:bCs/>
                <w:sz w:val="18"/>
                <w:szCs w:val="18"/>
              </w:rPr>
              <w:t>■</w:t>
            </w:r>
            <w:r>
              <w:rPr>
                <w:rFonts w:hint="eastAsia" w:ascii="宋体" w:hAnsi="宋体" w:cs="宋体"/>
                <w:sz w:val="18"/>
                <w:szCs w:val="18"/>
              </w:rPr>
              <w:t xml:space="preserve">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w:t>
            </w:r>
            <w:bookmarkStart w:id="85" w:name="pro_size"/>
            <w:bookmarkEnd w:id="85"/>
            <w:r>
              <w:rPr>
                <w:rFonts w:hint="eastAsia" w:ascii="宋体" w:hAnsi="宋体" w:eastAsia="宋体" w:cs="宋体"/>
                <w:bCs/>
                <w:sz w:val="18"/>
                <w:szCs w:val="18"/>
                <w:lang w:val="en-US" w:eastAsia="zh-CN"/>
              </w:rPr>
              <w:t>0.6</w:t>
            </w:r>
            <w:r>
              <w:rPr>
                <w:rFonts w:hint="eastAsia" w:ascii="宋体" w:hAnsi="宋体" w:eastAsia="宋体" w:cs="宋体"/>
                <w:bCs/>
                <w:sz w:val="18"/>
                <w:szCs w:val="18"/>
              </w:rPr>
              <w:t>】亿元，最小成立规模为【/】亿元。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□有固定期限：【/】</w:t>
            </w:r>
          </w:p>
          <w:p>
            <w:pPr>
              <w:spacing w:line="360" w:lineRule="auto"/>
              <w:rPr>
                <w:rFonts w:ascii="宋体" w:hAnsi="宋体" w:eastAsia="宋体" w:cs="仿宋_GB2312"/>
                <w:kern w:val="0"/>
                <w:sz w:val="18"/>
                <w:szCs w:val="18"/>
              </w:rPr>
            </w:pPr>
            <w:r>
              <w:rPr>
                <w:rFonts w:hint="eastAsia" w:ascii="宋体" w:hAnsi="宋体" w:eastAsia="宋体" w:cs="宋体"/>
                <w:bCs/>
                <w:sz w:val="18"/>
                <w:szCs w:val="18"/>
              </w:rPr>
              <w:t>■</w:t>
            </w:r>
            <w:r>
              <w:rPr>
                <w:rFonts w:hint="eastAsia" w:ascii="宋体" w:hAnsi="宋体" w:eastAsia="宋体" w:cs="仿宋_GB2312"/>
                <w:kern w:val="0"/>
                <w:sz w:val="18"/>
                <w:szCs w:val="18"/>
              </w:rPr>
              <w:t>无固定期限</w:t>
            </w:r>
          </w:p>
          <w:p>
            <w:pPr>
              <w:spacing w:line="360" w:lineRule="auto"/>
              <w:rPr>
                <w:rFonts w:ascii="宋体" w:hAnsi="宋体" w:eastAsia="宋体" w:cs="仿宋_GB2312"/>
                <w:kern w:val="0"/>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70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bookmarkStart w:id="86" w:name="buy_begin"/>
            <w:bookmarkEnd w:id="86"/>
            <w:r>
              <w:rPr>
                <w:rFonts w:hint="eastAsia" w:ascii="宋体" w:hAnsi="宋体" w:cs="宋体"/>
                <w:bCs/>
                <w:sz w:val="18"/>
                <w:szCs w:val="18"/>
                <w:lang w:eastAsia="zh-CN"/>
              </w:rPr>
              <w:t>【2025】年【</w:t>
            </w:r>
            <w:r>
              <w:rPr>
                <w:rFonts w:hint="eastAsia" w:ascii="宋体" w:hAnsi="宋体" w:cs="宋体"/>
                <w:bCs/>
                <w:sz w:val="18"/>
                <w:szCs w:val="18"/>
                <w:lang w:val="en-US" w:eastAsia="zh-CN"/>
              </w:rPr>
              <w:t>11</w:t>
            </w:r>
            <w:r>
              <w:rPr>
                <w:rFonts w:hint="eastAsia" w:ascii="宋体" w:hAnsi="宋体" w:cs="宋体"/>
                <w:bCs/>
                <w:sz w:val="18"/>
                <w:szCs w:val="18"/>
                <w:lang w:eastAsia="zh-CN"/>
              </w:rPr>
              <w:t>】月【5】日</w:t>
            </w:r>
            <w:r>
              <w:rPr>
                <w:rFonts w:hint="eastAsia" w:ascii="宋体" w:hAnsi="宋体" w:cs="Times New Roman"/>
                <w:sz w:val="18"/>
                <w:szCs w:val="18"/>
              </w:rPr>
              <w:t>【9:00】</w:t>
            </w:r>
            <w:r>
              <w:rPr>
                <w:rFonts w:hint="eastAsia" w:ascii="宋体" w:hAnsi="宋体" w:cs="仿宋_GB2312"/>
                <w:sz w:val="18"/>
                <w:szCs w:val="18"/>
              </w:rPr>
              <w:t>至</w:t>
            </w:r>
            <w:bookmarkStart w:id="87" w:name="buy_end"/>
            <w:bookmarkEnd w:id="87"/>
            <w:r>
              <w:rPr>
                <w:rFonts w:hint="eastAsia" w:ascii="宋体" w:hAnsi="宋体" w:cs="仿宋_GB2312"/>
                <w:sz w:val="18"/>
                <w:szCs w:val="18"/>
                <w:lang w:eastAsia="zh-CN"/>
              </w:rPr>
              <w:t>【2025】年【</w:t>
            </w:r>
            <w:r>
              <w:rPr>
                <w:rFonts w:hint="eastAsia" w:ascii="宋体" w:hAnsi="宋体" w:cs="仿宋_GB2312"/>
                <w:sz w:val="18"/>
                <w:szCs w:val="18"/>
                <w:lang w:val="en-US" w:eastAsia="zh-CN"/>
              </w:rPr>
              <w:t>11</w:t>
            </w:r>
            <w:r>
              <w:rPr>
                <w:rFonts w:hint="eastAsia" w:ascii="宋体" w:hAnsi="宋体" w:cs="仿宋_GB2312"/>
                <w:sz w:val="18"/>
                <w:szCs w:val="18"/>
                <w:lang w:eastAsia="zh-CN"/>
              </w:rPr>
              <w:t>】月【</w:t>
            </w:r>
            <w:r>
              <w:rPr>
                <w:rFonts w:hint="eastAsia" w:ascii="宋体" w:hAnsi="宋体" w:cs="仿宋_GB2312"/>
                <w:sz w:val="18"/>
                <w:szCs w:val="18"/>
                <w:lang w:val="en-US" w:eastAsia="zh-CN"/>
              </w:rPr>
              <w:t>6</w:t>
            </w:r>
            <w:r>
              <w:rPr>
                <w:rFonts w:hint="eastAsia" w:ascii="宋体" w:hAnsi="宋体" w:cs="仿宋_GB2312"/>
                <w:sz w:val="18"/>
                <w:szCs w:val="18"/>
                <w:lang w:eastAsia="zh-CN"/>
              </w:rPr>
              <w:t>】日</w:t>
            </w:r>
            <w:r>
              <w:rPr>
                <w:rFonts w:hint="eastAsia" w:ascii="宋体" w:hAnsi="宋体" w:eastAsia="宋体" w:cs="宋体"/>
                <w:sz w:val="18"/>
                <w:szCs w:val="18"/>
              </w:rPr>
              <w:t>【</w:t>
            </w:r>
            <w:bookmarkStart w:id="88" w:name="trade_end1"/>
            <w:bookmarkEnd w:id="88"/>
            <w:r>
              <w:rPr>
                <w:rFonts w:hint="eastAsia" w:ascii="宋体" w:hAnsi="宋体" w:eastAsia="宋体" w:cs="宋体"/>
                <w:sz w:val="18"/>
                <w:szCs w:val="18"/>
                <w:lang w:eastAsia="zh-CN"/>
              </w:rPr>
              <w:t>15:45</w:t>
            </w:r>
            <w:r>
              <w:rPr>
                <w:rFonts w:hint="eastAsia" w:ascii="宋体" w:hAnsi="宋体" w:eastAsia="宋体" w:cs="宋体"/>
                <w:sz w:val="18"/>
                <w:szCs w:val="18"/>
              </w:rPr>
              <w:t>】</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.认购期/募集期内资金产生的利息不计入认购资金</w:t>
            </w:r>
            <w:r>
              <w:rPr>
                <w:rFonts w:hint="eastAsia" w:ascii="宋体" w:hAnsi="宋体" w:cs="宋体"/>
                <w:sz w:val="18"/>
                <w:szCs w:val="22"/>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70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bookmarkStart w:id="89" w:name="pro_start"/>
            <w:bookmarkEnd w:id="89"/>
            <w:r>
              <w:rPr>
                <w:rFonts w:hint="eastAsia" w:ascii="宋体" w:hAnsi="宋体" w:cs="宋体"/>
                <w:bCs/>
                <w:sz w:val="18"/>
                <w:szCs w:val="18"/>
                <w:lang w:eastAsia="zh-CN"/>
              </w:rPr>
              <w:t>【2025】年【</w:t>
            </w:r>
            <w:r>
              <w:rPr>
                <w:rFonts w:hint="eastAsia" w:ascii="宋体" w:hAnsi="宋体" w:cs="宋体"/>
                <w:bCs/>
                <w:sz w:val="18"/>
                <w:szCs w:val="18"/>
                <w:lang w:val="en-US" w:eastAsia="zh-CN"/>
              </w:rPr>
              <w:t>11</w:t>
            </w:r>
            <w:r>
              <w:rPr>
                <w:rFonts w:hint="eastAsia" w:ascii="宋体" w:hAnsi="宋体" w:cs="宋体"/>
                <w:bCs/>
                <w:sz w:val="18"/>
                <w:szCs w:val="18"/>
                <w:lang w:eastAsia="zh-CN"/>
              </w:rPr>
              <w:t>】月【</w:t>
            </w:r>
            <w:r>
              <w:rPr>
                <w:rFonts w:hint="eastAsia" w:ascii="宋体" w:hAnsi="宋体" w:cs="宋体"/>
                <w:bCs/>
                <w:sz w:val="18"/>
                <w:szCs w:val="18"/>
                <w:lang w:val="en-US" w:eastAsia="zh-CN"/>
              </w:rPr>
              <w:t>7</w:t>
            </w:r>
            <w:r>
              <w:rPr>
                <w:rFonts w:hint="eastAsia" w:ascii="宋体" w:hAnsi="宋体" w:cs="宋体"/>
                <w:bCs/>
                <w:sz w:val="18"/>
                <w:szCs w:val="18"/>
                <w:lang w:eastAsia="zh-CN"/>
              </w:rPr>
              <w:t>】日</w:t>
            </w:r>
            <w:r>
              <w:rPr>
                <w:rFonts w:hint="eastAsia" w:ascii="宋体" w:hAnsi="宋体" w:cs="Times New Roman"/>
                <w:sz w:val="18"/>
                <w:szCs w:val="18"/>
              </w:rPr>
              <w:t>（遇节假日顺延）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70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w:t>
            </w:r>
            <w:r>
              <w:rPr>
                <w:rFonts w:ascii="宋体" w:hAnsi="宋体" w:cs="Times New Roman"/>
                <w:sz w:val="18"/>
                <w:szCs w:val="18"/>
              </w:rPr>
              <w:t>】年【</w:t>
            </w:r>
            <w:r>
              <w:rPr>
                <w:rFonts w:hint="eastAsia" w:ascii="宋体" w:hAnsi="宋体" w:cs="Times New Roman"/>
                <w:sz w:val="18"/>
                <w:szCs w:val="18"/>
              </w:rPr>
              <w:t>/】月【/】日（遇节假日顺延）</w:t>
            </w:r>
            <w:r>
              <w:rPr>
                <w:rFonts w:hint="eastAsia" w:ascii="宋体" w:hAnsi="宋体" w:cs="宋体"/>
                <w:bCs/>
                <w:sz w:val="18"/>
                <w:szCs w:val="18"/>
              </w:rPr>
              <w:t>。</w:t>
            </w:r>
          </w:p>
          <w:p>
            <w:pPr>
              <w:spacing w:line="360" w:lineRule="auto"/>
              <w:rPr>
                <w:rFonts w:ascii="宋体" w:hAnsi="宋体" w:cs="宋体"/>
                <w:bCs/>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sz w:val="18"/>
                <w:szCs w:val="18"/>
              </w:rPr>
              <w:t>封闭期</w:t>
            </w:r>
          </w:p>
        </w:tc>
        <w:tc>
          <w:tcPr>
            <w:tcW w:w="7704" w:type="dxa"/>
            <w:shd w:val="solid" w:color="FFFFFF" w:fill="FFFFFF"/>
          </w:tcPr>
          <w:p>
            <w:pPr>
              <w:spacing w:line="360" w:lineRule="auto"/>
              <w:rPr>
                <w:rFonts w:ascii="宋体" w:hAnsi="宋体" w:eastAsia="宋体" w:cs="Times New Roman"/>
                <w:b/>
                <w:bCs/>
                <w:sz w:val="18"/>
                <w:szCs w:val="18"/>
              </w:rPr>
            </w:pPr>
            <w:r>
              <w:rPr>
                <w:rFonts w:ascii="宋体" w:hAnsi="宋体" w:cs="Times New Roman"/>
                <w:sz w:val="18"/>
                <w:szCs w:val="18"/>
              </w:rPr>
              <w:t>1.</w:t>
            </w:r>
            <w:r>
              <w:rPr>
                <w:rFonts w:hint="eastAsia" w:ascii="宋体" w:hAnsi="宋体" w:cs="宋体"/>
                <w:bCs/>
                <w:sz w:val="18"/>
                <w:szCs w:val="18"/>
              </w:rPr>
              <w:t>本产品封闭期为：</w:t>
            </w:r>
            <w:r>
              <w:rPr>
                <w:rFonts w:hint="eastAsia" w:ascii="宋体" w:hAnsi="宋体" w:cs="Times New Roman"/>
                <w:sz w:val="18"/>
                <w:szCs w:val="18"/>
              </w:rPr>
              <w:t>【/</w:t>
            </w:r>
            <w:r>
              <w:rPr>
                <w:rFonts w:ascii="宋体" w:hAnsi="宋体" w:cs="Times New Roman"/>
                <w:sz w:val="18"/>
                <w:szCs w:val="18"/>
              </w:rPr>
              <w:t>】年【</w:t>
            </w:r>
            <w:r>
              <w:rPr>
                <w:rFonts w:hint="eastAsia" w:ascii="宋体" w:hAnsi="宋体" w:cs="Times New Roman"/>
                <w:sz w:val="18"/>
                <w:szCs w:val="18"/>
              </w:rPr>
              <w:t>/】月【/】日</w:t>
            </w:r>
            <w:r>
              <w:rPr>
                <w:rFonts w:hint="eastAsia" w:ascii="宋体" w:hAnsi="宋体" w:cs="仿宋_GB2312"/>
                <w:sz w:val="18"/>
                <w:szCs w:val="18"/>
              </w:rPr>
              <w:t>至</w:t>
            </w:r>
            <w:r>
              <w:rPr>
                <w:rFonts w:hint="eastAsia" w:ascii="宋体" w:hAnsi="宋体" w:cs="Times New Roman"/>
                <w:sz w:val="18"/>
                <w:szCs w:val="18"/>
              </w:rPr>
              <w:t>【/</w:t>
            </w:r>
            <w:r>
              <w:rPr>
                <w:rFonts w:ascii="宋体" w:hAnsi="宋体" w:cs="Times New Roman"/>
                <w:sz w:val="18"/>
                <w:szCs w:val="18"/>
              </w:rPr>
              <w:t>】年【</w:t>
            </w:r>
            <w:r>
              <w:rPr>
                <w:rFonts w:hint="eastAsia" w:ascii="宋体" w:hAnsi="宋体" w:cs="Times New Roman"/>
                <w:sz w:val="18"/>
                <w:szCs w:val="18"/>
              </w:rPr>
              <w:t>/】月【/】日</w:t>
            </w:r>
            <w:r>
              <w:rPr>
                <w:rFonts w:hint="eastAsia" w:ascii="宋体" w:hAnsi="宋体" w:eastAsia="宋体" w:cs="宋体"/>
                <w:sz w:val="18"/>
                <w:szCs w:val="18"/>
              </w:rPr>
              <w:t>。</w:t>
            </w:r>
          </w:p>
          <w:p>
            <w:pPr>
              <w:spacing w:line="360" w:lineRule="auto"/>
              <w:rPr>
                <w:rFonts w:ascii="宋体" w:hAnsi="宋体" w:cs="宋体"/>
                <w:bCs/>
                <w:sz w:val="18"/>
                <w:szCs w:val="18"/>
              </w:rPr>
            </w:pPr>
            <w:r>
              <w:rPr>
                <w:rFonts w:ascii="宋体" w:hAnsi="宋体" w:cs="宋体"/>
                <w:sz w:val="18"/>
                <w:szCs w:val="18"/>
              </w:rPr>
              <w:t>2.</w:t>
            </w:r>
            <w:r>
              <w:rPr>
                <w:rFonts w:hint="eastAsia" w:ascii="宋体" w:hAnsi="宋体" w:cs="宋体"/>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cs="宋体"/>
                <w:b/>
                <w:bCs/>
                <w:kern w:val="0"/>
                <w:sz w:val="18"/>
                <w:szCs w:val="18"/>
              </w:rPr>
              <w:t>申购/赎回安排</w:t>
            </w:r>
          </w:p>
        </w:tc>
        <w:tc>
          <w:tcPr>
            <w:tcW w:w="7704" w:type="dxa"/>
            <w:shd w:val="solid" w:color="FFFFFF" w:fill="FFFFFF"/>
          </w:tcPr>
          <w:p>
            <w:pPr>
              <w:spacing w:line="360" w:lineRule="auto"/>
              <w:rPr>
                <w:rFonts w:ascii="宋体" w:hAnsi="宋体" w:cs="宋体"/>
                <w:sz w:val="18"/>
                <w:szCs w:val="18"/>
              </w:rPr>
            </w:pPr>
            <w:r>
              <w:rPr>
                <w:rFonts w:ascii="宋体" w:hAnsi="宋体" w:cs="宋体"/>
                <w:sz w:val="18"/>
                <w:szCs w:val="18"/>
              </w:rPr>
              <w:t>1.</w:t>
            </w:r>
            <w:r>
              <w:rPr>
                <w:rFonts w:hint="eastAsia" w:ascii="宋体" w:hAnsi="宋体" w:cs="宋体"/>
                <w:sz w:val="18"/>
                <w:szCs w:val="18"/>
              </w:rPr>
              <w:t>本产品的开放日</w:t>
            </w:r>
          </w:p>
          <w:p>
            <w:pPr>
              <w:spacing w:line="360" w:lineRule="auto"/>
              <w:rPr>
                <w:rFonts w:ascii="宋体" w:hAnsi="宋体" w:cs="宋体"/>
                <w:sz w:val="18"/>
                <w:szCs w:val="18"/>
              </w:rPr>
            </w:pPr>
            <w:r>
              <w:rPr>
                <w:rFonts w:hint="eastAsia" w:ascii="宋体" w:hAnsi="宋体" w:cs="宋体"/>
                <w:sz w:val="18"/>
                <w:szCs w:val="18"/>
              </w:rPr>
              <w:t>本产品封闭期结束后的第一个工作日起每日开放（产品管理人公告暂停开放的日期除外），投资者可于开放日提交申购申请。</w:t>
            </w:r>
          </w:p>
          <w:p>
            <w:pPr>
              <w:spacing w:line="360" w:lineRule="auto"/>
              <w:rPr>
                <w:rFonts w:ascii="宋体" w:hAnsi="宋体" w:eastAsia="宋体" w:cs="宋体"/>
                <w:bCs/>
                <w:sz w:val="18"/>
                <w:szCs w:val="18"/>
              </w:rPr>
            </w:pPr>
            <w:r>
              <w:rPr>
                <w:rFonts w:hint="eastAsia" w:ascii="宋体" w:hAnsi="宋体" w:cs="宋体"/>
                <w:sz w:val="18"/>
                <w:szCs w:val="18"/>
              </w:rPr>
              <w:t>本产品最短持有期为【</w:t>
            </w:r>
            <w:bookmarkStart w:id="90" w:name="holdings1"/>
            <w:bookmarkEnd w:id="90"/>
            <w:r>
              <w:rPr>
                <w:rFonts w:hint="eastAsia" w:ascii="宋体" w:hAnsi="宋体" w:cs="宋体"/>
                <w:sz w:val="18"/>
                <w:szCs w:val="18"/>
                <w:lang w:eastAsia="zh-CN"/>
              </w:rPr>
              <w:t>30</w:t>
            </w:r>
            <w:r>
              <w:rPr>
                <w:rFonts w:hint="eastAsia" w:ascii="宋体" w:hAnsi="宋体" w:cs="宋体"/>
                <w:sz w:val="18"/>
                <w:szCs w:val="18"/>
              </w:rPr>
              <w:t>】个自然日。</w:t>
            </w:r>
            <w:r>
              <w:rPr>
                <w:rFonts w:hint="eastAsia" w:ascii="宋体" w:hAnsi="宋体" w:eastAsia="宋体" w:cs="宋体"/>
                <w:bCs/>
                <w:sz w:val="18"/>
                <w:szCs w:val="18"/>
              </w:rPr>
              <w:t>自产品成立日/申购确认日起第【</w:t>
            </w:r>
            <w:bookmarkStart w:id="91" w:name="holdings2"/>
            <w:bookmarkEnd w:id="91"/>
            <w:r>
              <w:rPr>
                <w:rFonts w:hint="eastAsia" w:ascii="宋体" w:hAnsi="宋体" w:eastAsia="宋体" w:cs="宋体"/>
                <w:bCs/>
                <w:sz w:val="18"/>
                <w:szCs w:val="18"/>
                <w:lang w:eastAsia="zh-CN"/>
              </w:rPr>
              <w:t>30</w:t>
            </w:r>
            <w:r>
              <w:rPr>
                <w:rFonts w:hint="eastAsia" w:ascii="宋体" w:hAnsi="宋体" w:eastAsia="宋体" w:cs="宋体"/>
                <w:bCs/>
                <w:sz w:val="18"/>
                <w:szCs w:val="18"/>
              </w:rPr>
              <w:t>】个自然日内（不含当日）投资者不能赎回该产品份额，自产品成立日/申购确认日起第【</w:t>
            </w:r>
            <w:bookmarkStart w:id="92" w:name="holdings3"/>
            <w:bookmarkEnd w:id="92"/>
            <w:r>
              <w:rPr>
                <w:rFonts w:hint="eastAsia" w:ascii="宋体" w:hAnsi="宋体" w:eastAsia="宋体" w:cs="宋体"/>
                <w:bCs/>
                <w:sz w:val="18"/>
                <w:szCs w:val="18"/>
                <w:lang w:eastAsia="zh-CN"/>
              </w:rPr>
              <w:t>30</w:t>
            </w:r>
            <w:r>
              <w:rPr>
                <w:rFonts w:hint="eastAsia" w:ascii="宋体" w:hAnsi="宋体" w:eastAsia="宋体" w:cs="宋体"/>
                <w:bCs/>
                <w:sz w:val="18"/>
                <w:szCs w:val="18"/>
              </w:rPr>
              <w:t>】个自然日起（含当日），投资者</w:t>
            </w:r>
            <w:r>
              <w:rPr>
                <w:rFonts w:hint="eastAsia" w:ascii="宋体" w:hAnsi="宋体" w:cs="宋体"/>
                <w:sz w:val="18"/>
                <w:szCs w:val="18"/>
              </w:rPr>
              <w:t>可于任一开放日</w:t>
            </w:r>
            <w:r>
              <w:rPr>
                <w:rFonts w:hint="eastAsia" w:ascii="宋体" w:hAnsi="宋体" w:eastAsia="宋体" w:cs="宋体"/>
                <w:bCs/>
                <w:sz w:val="18"/>
                <w:szCs w:val="18"/>
              </w:rPr>
              <w:t>赎回该产品份额。</w:t>
            </w:r>
          </w:p>
          <w:p>
            <w:pPr>
              <w:spacing w:line="360" w:lineRule="auto"/>
              <w:rPr>
                <w:rFonts w:ascii="宋体" w:hAnsi="宋体" w:cs="宋体"/>
                <w:sz w:val="18"/>
                <w:szCs w:val="18"/>
              </w:rPr>
            </w:pPr>
            <w:r>
              <w:rPr>
                <w:rFonts w:hint="eastAsia" w:ascii="宋体" w:hAnsi="宋体" w:cs="宋体"/>
                <w:sz w:val="18"/>
                <w:szCs w:val="18"/>
              </w:rPr>
              <w:t>2</w:t>
            </w:r>
            <w:r>
              <w:rPr>
                <w:rFonts w:ascii="宋体" w:hAnsi="宋体" w:cs="宋体"/>
                <w:sz w:val="18"/>
                <w:szCs w:val="18"/>
              </w:rPr>
              <w:t>.</w:t>
            </w:r>
            <w:r>
              <w:rPr>
                <w:rFonts w:hint="eastAsia" w:ascii="宋体" w:hAnsi="宋体" w:cs="宋体"/>
                <w:sz w:val="18"/>
                <w:szCs w:val="18"/>
              </w:rPr>
              <w:t>申购安排</w:t>
            </w:r>
          </w:p>
          <w:p>
            <w:pPr>
              <w:spacing w:line="360" w:lineRule="auto"/>
              <w:rPr>
                <w:rFonts w:ascii="宋体" w:hAnsi="宋体" w:eastAsia="宋体" w:cs="宋体"/>
                <w:sz w:val="18"/>
                <w:szCs w:val="18"/>
              </w:rPr>
            </w:pPr>
            <w:r>
              <w:rPr>
                <w:rFonts w:hint="eastAsia" w:ascii="宋体" w:hAnsi="宋体" w:eastAsia="宋体" w:cs="宋体"/>
                <w:sz w:val="18"/>
                <w:szCs w:val="18"/>
              </w:rPr>
              <w:t>（1）申购的时间</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cs="Times New Roman"/>
                <w:sz w:val="18"/>
                <w:szCs w:val="18"/>
              </w:rPr>
              <w:t>【</w:t>
            </w:r>
            <w:bookmarkStart w:id="93" w:name="trade_end2"/>
            <w:bookmarkEnd w:id="93"/>
            <w:r>
              <w:rPr>
                <w:rFonts w:hint="eastAsia" w:ascii="宋体" w:hAnsi="宋体" w:cs="Times New Roman"/>
                <w:sz w:val="18"/>
                <w:szCs w:val="18"/>
                <w:lang w:eastAsia="zh-CN"/>
              </w:rPr>
              <w:t>15:45</w:t>
            </w:r>
            <w:r>
              <w:rPr>
                <w:rFonts w:hint="eastAsia" w:ascii="宋体" w:hAnsi="宋体" w:cs="Times New Roman"/>
                <w:sz w:val="18"/>
                <w:szCs w:val="18"/>
              </w:rPr>
              <w:t>】</w:t>
            </w:r>
            <w:r>
              <w:rPr>
                <w:rFonts w:hint="eastAsia" w:ascii="宋体" w:hAnsi="宋体" w:eastAsia="宋体" w:cs="宋体"/>
                <w:sz w:val="18"/>
                <w:szCs w:val="18"/>
              </w:rPr>
              <w:t>前提交申购申请的，提交当日为申购日。</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cs="Times New Roman"/>
                <w:sz w:val="18"/>
                <w:szCs w:val="18"/>
              </w:rPr>
              <w:t>【</w:t>
            </w:r>
            <w:bookmarkStart w:id="94" w:name="trade_end3"/>
            <w:bookmarkEnd w:id="94"/>
            <w:r>
              <w:rPr>
                <w:rFonts w:hint="eastAsia" w:ascii="宋体" w:hAnsi="宋体" w:cs="Times New Roman"/>
                <w:sz w:val="18"/>
                <w:szCs w:val="18"/>
                <w:lang w:eastAsia="zh-CN"/>
              </w:rPr>
              <w:t>15:45</w:t>
            </w:r>
            <w:r>
              <w:rPr>
                <w:rFonts w:hint="eastAsia" w:ascii="宋体" w:hAnsi="宋体" w:cs="Times New Roman"/>
                <w:sz w:val="18"/>
                <w:szCs w:val="18"/>
              </w:rPr>
              <w:t>】</w:t>
            </w:r>
            <w:r>
              <w:rPr>
                <w:rFonts w:hint="eastAsia" w:ascii="宋体" w:hAnsi="宋体" w:eastAsia="宋体" w:cs="宋体"/>
                <w:sz w:val="18"/>
                <w:szCs w:val="18"/>
              </w:rPr>
              <w:t>后提交申购申请的，下一个工作日为申购日。</w:t>
            </w:r>
          </w:p>
          <w:p>
            <w:pPr>
              <w:spacing w:line="360" w:lineRule="auto"/>
              <w:rPr>
                <w:rFonts w:ascii="宋体" w:hAnsi="宋体" w:eastAsia="宋体" w:cs="宋体"/>
                <w:sz w:val="18"/>
                <w:szCs w:val="18"/>
              </w:rPr>
            </w:pPr>
            <w:r>
              <w:rPr>
                <w:rFonts w:hint="eastAsia" w:ascii="宋体" w:hAnsi="宋体" w:eastAsia="宋体" w:cs="宋体"/>
                <w:sz w:val="18"/>
                <w:szCs w:val="18"/>
              </w:rPr>
              <w:t>投资者在非工作日提交申购申请的，下一个工作日为申购日。</w:t>
            </w:r>
          </w:p>
          <w:p>
            <w:pPr>
              <w:spacing w:line="360" w:lineRule="auto"/>
              <w:rPr>
                <w:rFonts w:ascii="宋体" w:hAnsi="宋体" w:eastAsia="宋体" w:cs="宋体"/>
                <w:sz w:val="18"/>
                <w:szCs w:val="18"/>
              </w:rPr>
            </w:pPr>
            <w:r>
              <w:rPr>
                <w:rFonts w:hint="eastAsia" w:ascii="宋体" w:hAnsi="宋体" w:eastAsia="宋体" w:cs="宋体"/>
                <w:sz w:val="18"/>
                <w:szCs w:val="18"/>
              </w:rPr>
              <w:t>（2）</w:t>
            </w:r>
            <w:r>
              <w:rPr>
                <w:rFonts w:ascii="宋体" w:hAnsi="宋体" w:eastAsia="宋体" w:cs="宋体"/>
                <w:sz w:val="18"/>
                <w:szCs w:val="18"/>
              </w:rPr>
              <w:t>申购的确认</w:t>
            </w:r>
          </w:p>
          <w:p>
            <w:pPr>
              <w:spacing w:line="360" w:lineRule="auto"/>
              <w:rPr>
                <w:rFonts w:ascii="宋体" w:hAnsi="宋体" w:eastAsia="宋体" w:cs="宋体"/>
                <w:sz w:val="18"/>
                <w:szCs w:val="18"/>
              </w:rPr>
            </w:pPr>
            <w:r>
              <w:rPr>
                <w:rFonts w:hint="eastAsia" w:ascii="宋体" w:hAnsi="宋体" w:eastAsia="宋体" w:cs="Times New Roman"/>
                <w:bCs/>
                <w:sz w:val="18"/>
                <w:szCs w:val="18"/>
              </w:rPr>
              <w:t>产品管理人在申购日后【2】个工作日内对投资者的申购申请的有效性进行确认，并登记理财份额。</w:t>
            </w:r>
          </w:p>
          <w:p>
            <w:pPr>
              <w:spacing w:line="360" w:lineRule="auto"/>
              <w:rPr>
                <w:rFonts w:ascii="宋体" w:hAnsi="宋体" w:eastAsia="宋体" w:cs="宋体"/>
                <w:sz w:val="18"/>
                <w:szCs w:val="18"/>
              </w:rPr>
            </w:pPr>
            <w:r>
              <w:rPr>
                <w:rFonts w:hint="eastAsia" w:ascii="宋体" w:hAnsi="宋体" w:eastAsia="宋体" w:cs="宋体"/>
                <w:sz w:val="18"/>
                <w:szCs w:val="18"/>
              </w:rPr>
              <w:t>3.赎回安排</w:t>
            </w:r>
          </w:p>
          <w:p>
            <w:pPr>
              <w:spacing w:line="360" w:lineRule="auto"/>
              <w:rPr>
                <w:rFonts w:ascii="宋体" w:hAnsi="宋体" w:eastAsia="宋体" w:cs="宋体"/>
                <w:sz w:val="18"/>
                <w:szCs w:val="18"/>
              </w:rPr>
            </w:pPr>
            <w:r>
              <w:rPr>
                <w:rFonts w:hint="eastAsia" w:ascii="宋体" w:hAnsi="宋体" w:eastAsia="宋体" w:cs="宋体"/>
                <w:sz w:val="18"/>
                <w:szCs w:val="18"/>
              </w:rPr>
              <w:t>（1）</w:t>
            </w:r>
            <w:r>
              <w:rPr>
                <w:rFonts w:hint="eastAsia" w:ascii="宋体" w:hAnsi="宋体" w:cs="宋体"/>
                <w:bCs/>
                <w:sz w:val="18"/>
                <w:szCs w:val="18"/>
              </w:rPr>
              <w:t>赎回的时间</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cs="Times New Roman"/>
                <w:sz w:val="18"/>
                <w:szCs w:val="18"/>
              </w:rPr>
              <w:t>【</w:t>
            </w:r>
            <w:bookmarkStart w:id="95" w:name="trade_end4"/>
            <w:bookmarkEnd w:id="95"/>
            <w:r>
              <w:rPr>
                <w:rFonts w:hint="eastAsia" w:ascii="宋体" w:hAnsi="宋体" w:cs="Times New Roman"/>
                <w:sz w:val="18"/>
                <w:szCs w:val="18"/>
                <w:lang w:eastAsia="zh-CN"/>
              </w:rPr>
              <w:t>15:45</w:t>
            </w:r>
            <w:r>
              <w:rPr>
                <w:rFonts w:hint="eastAsia" w:ascii="宋体" w:hAnsi="宋体" w:cs="Times New Roman"/>
                <w:sz w:val="18"/>
                <w:szCs w:val="18"/>
              </w:rPr>
              <w:t>】</w:t>
            </w:r>
            <w:r>
              <w:rPr>
                <w:rFonts w:hint="eastAsia" w:ascii="宋体" w:hAnsi="宋体" w:eastAsia="宋体" w:cs="宋体"/>
                <w:sz w:val="18"/>
                <w:szCs w:val="18"/>
              </w:rPr>
              <w:t>前提交</w:t>
            </w:r>
            <w:r>
              <w:rPr>
                <w:rFonts w:hint="eastAsia" w:ascii="宋体" w:hAnsi="宋体" w:eastAsia="宋体" w:cs="宋体"/>
                <w:sz w:val="18"/>
                <w:szCs w:val="18"/>
                <w:lang w:val="en-US" w:eastAsia="zh-CN"/>
              </w:rPr>
              <w:t>赎回</w:t>
            </w:r>
            <w:r>
              <w:rPr>
                <w:rFonts w:hint="eastAsia" w:ascii="宋体" w:hAnsi="宋体" w:eastAsia="宋体" w:cs="宋体"/>
                <w:sz w:val="18"/>
                <w:szCs w:val="18"/>
              </w:rPr>
              <w:t>申请的，提交当日为</w:t>
            </w:r>
            <w:r>
              <w:rPr>
                <w:rFonts w:hint="eastAsia" w:ascii="宋体" w:hAnsi="宋体" w:eastAsia="宋体" w:cs="宋体"/>
                <w:sz w:val="18"/>
                <w:szCs w:val="18"/>
                <w:lang w:val="en-US" w:eastAsia="zh-CN"/>
              </w:rPr>
              <w:t>赎回</w:t>
            </w:r>
            <w:r>
              <w:rPr>
                <w:rFonts w:hint="eastAsia" w:ascii="宋体" w:hAnsi="宋体" w:eastAsia="宋体" w:cs="宋体"/>
                <w:sz w:val="18"/>
                <w:szCs w:val="18"/>
              </w:rPr>
              <w:t>日。</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cs="Times New Roman"/>
                <w:sz w:val="18"/>
                <w:szCs w:val="18"/>
              </w:rPr>
              <w:t>【</w:t>
            </w:r>
            <w:bookmarkStart w:id="96" w:name="trade_end5"/>
            <w:bookmarkEnd w:id="96"/>
            <w:r>
              <w:rPr>
                <w:rFonts w:hint="eastAsia" w:ascii="宋体" w:hAnsi="宋体" w:cs="Times New Roman"/>
                <w:sz w:val="18"/>
                <w:szCs w:val="18"/>
                <w:lang w:eastAsia="zh-CN"/>
              </w:rPr>
              <w:t>15:45</w:t>
            </w:r>
            <w:r>
              <w:rPr>
                <w:rFonts w:hint="eastAsia" w:ascii="宋体" w:hAnsi="宋体" w:cs="Times New Roman"/>
                <w:sz w:val="18"/>
                <w:szCs w:val="18"/>
              </w:rPr>
              <w:t>】</w:t>
            </w:r>
            <w:r>
              <w:rPr>
                <w:rFonts w:hint="eastAsia" w:ascii="宋体" w:hAnsi="宋体" w:eastAsia="宋体" w:cs="宋体"/>
                <w:sz w:val="18"/>
                <w:szCs w:val="18"/>
              </w:rPr>
              <w:t>后提交</w:t>
            </w:r>
            <w:r>
              <w:rPr>
                <w:rFonts w:hint="eastAsia" w:ascii="宋体" w:hAnsi="宋体" w:eastAsia="宋体" w:cs="宋体"/>
                <w:sz w:val="18"/>
                <w:szCs w:val="18"/>
                <w:lang w:val="en-US" w:eastAsia="zh-CN"/>
              </w:rPr>
              <w:t>赎回</w:t>
            </w:r>
            <w:r>
              <w:rPr>
                <w:rFonts w:hint="eastAsia" w:ascii="宋体" w:hAnsi="宋体" w:eastAsia="宋体" w:cs="宋体"/>
                <w:sz w:val="18"/>
                <w:szCs w:val="18"/>
              </w:rPr>
              <w:t>申请的，下一个工作日为</w:t>
            </w:r>
            <w:r>
              <w:rPr>
                <w:rFonts w:hint="eastAsia" w:ascii="宋体" w:hAnsi="宋体" w:eastAsia="宋体" w:cs="宋体"/>
                <w:sz w:val="18"/>
                <w:szCs w:val="18"/>
                <w:lang w:val="en-US" w:eastAsia="zh-CN"/>
              </w:rPr>
              <w:t>赎回</w:t>
            </w:r>
            <w:r>
              <w:rPr>
                <w:rFonts w:hint="eastAsia" w:ascii="宋体" w:hAnsi="宋体" w:eastAsia="宋体" w:cs="宋体"/>
                <w:sz w:val="18"/>
                <w:szCs w:val="18"/>
              </w:rPr>
              <w:t>日。</w:t>
            </w:r>
          </w:p>
          <w:p>
            <w:pPr>
              <w:spacing w:line="360" w:lineRule="auto"/>
              <w:rPr>
                <w:rFonts w:ascii="宋体" w:hAnsi="宋体" w:eastAsia="宋体" w:cs="宋体"/>
                <w:sz w:val="18"/>
                <w:szCs w:val="18"/>
              </w:rPr>
            </w:pPr>
            <w:r>
              <w:rPr>
                <w:rFonts w:hint="eastAsia" w:ascii="宋体" w:hAnsi="宋体" w:eastAsia="宋体" w:cs="宋体"/>
                <w:sz w:val="18"/>
                <w:szCs w:val="18"/>
              </w:rPr>
              <w:t>投资者在非工作日提交赎回申请的，下一个工作日为赎回日。</w:t>
            </w:r>
          </w:p>
          <w:p>
            <w:pPr>
              <w:spacing w:line="360" w:lineRule="auto"/>
              <w:rPr>
                <w:rFonts w:ascii="宋体" w:hAnsi="宋体" w:eastAsia="宋体" w:cs="宋体"/>
                <w:sz w:val="18"/>
                <w:szCs w:val="18"/>
              </w:rPr>
            </w:pPr>
            <w:r>
              <w:rPr>
                <w:rFonts w:hint="eastAsia" w:ascii="宋体" w:hAnsi="宋体" w:eastAsia="宋体" w:cs="宋体"/>
                <w:sz w:val="18"/>
                <w:szCs w:val="18"/>
              </w:rPr>
              <w:t>（2）赎回</w:t>
            </w:r>
            <w:r>
              <w:rPr>
                <w:rFonts w:ascii="宋体" w:hAnsi="宋体" w:eastAsia="宋体" w:cs="宋体"/>
                <w:sz w:val="18"/>
                <w:szCs w:val="18"/>
              </w:rPr>
              <w:t>的确认</w:t>
            </w:r>
          </w:p>
          <w:p>
            <w:pPr>
              <w:spacing w:line="360" w:lineRule="auto"/>
              <w:rPr>
                <w:rFonts w:ascii="宋体" w:hAnsi="宋体" w:eastAsia="宋体" w:cs="宋体"/>
                <w:sz w:val="18"/>
                <w:szCs w:val="18"/>
              </w:rPr>
            </w:pPr>
            <w:r>
              <w:rPr>
                <w:rFonts w:hint="eastAsia" w:ascii="宋体" w:hAnsi="宋体" w:eastAsia="宋体" w:cs="Times New Roman"/>
                <w:bCs/>
                <w:sz w:val="18"/>
                <w:szCs w:val="18"/>
              </w:rPr>
              <w:t>产品管理人在赎回日后【2】个工作日内对投资者的赎回申请的有效性进行确认，并注销理财份额。</w:t>
            </w:r>
          </w:p>
          <w:p>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sz w:val="18"/>
                <w:szCs w:val="22"/>
              </w:rPr>
              <w:t>赎回</w:t>
            </w:r>
            <w:r>
              <w:rPr>
                <w:rFonts w:hint="eastAsia" w:ascii="黑体" w:hAnsi="黑体" w:eastAsia="黑体" w:cs="黑体"/>
                <w:bCs/>
                <w:color w:val="000000"/>
                <w:sz w:val="18"/>
                <w:szCs w:val="18"/>
              </w:rPr>
              <w:t>款项于</w:t>
            </w:r>
            <w:r>
              <w:rPr>
                <w:rFonts w:hint="eastAsia" w:ascii="黑体" w:hAnsi="黑体" w:eastAsia="黑体" w:cs="黑体"/>
                <w:bCs/>
                <w:kern w:val="0"/>
                <w:sz w:val="18"/>
                <w:szCs w:val="18"/>
              </w:rPr>
              <w:t>赎回</w:t>
            </w:r>
            <w:r>
              <w:rPr>
                <w:rFonts w:hint="eastAsia" w:ascii="黑体" w:hAnsi="黑体" w:eastAsia="黑体" w:cs="黑体"/>
                <w:kern w:val="0"/>
                <w:sz w:val="18"/>
                <w:szCs w:val="22"/>
              </w:rPr>
              <w:t>日后【3】个工作日</w:t>
            </w:r>
            <w:r>
              <w:rPr>
                <w:rFonts w:hint="eastAsia" w:ascii="黑体" w:hAnsi="黑体" w:eastAsia="黑体" w:cs="黑体"/>
                <w:bCs/>
                <w:kern w:val="0"/>
                <w:sz w:val="18"/>
                <w:szCs w:val="18"/>
              </w:rPr>
              <w:t>内支付给</w:t>
            </w:r>
            <w:r>
              <w:rPr>
                <w:rFonts w:hint="eastAsia" w:ascii="黑体" w:hAnsi="黑体" w:eastAsia="黑体" w:cs="黑体"/>
                <w:kern w:val="0"/>
                <w:sz w:val="18"/>
                <w:szCs w:val="22"/>
              </w:rPr>
              <w:t>投资者</w:t>
            </w:r>
            <w:r>
              <w:rPr>
                <w:rFonts w:hint="eastAsia" w:ascii="黑体" w:hAnsi="黑体" w:eastAsia="黑体" w:cs="黑体"/>
                <w:bCs/>
                <w:kern w:val="0"/>
                <w:sz w:val="18"/>
                <w:szCs w:val="18"/>
              </w:rPr>
              <w:t>。</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注：关于代理销售机构的实际工作服务时段的提示</w:t>
            </w:r>
          </w:p>
          <w:p>
            <w:pPr>
              <w:spacing w:line="360" w:lineRule="auto"/>
              <w:rPr>
                <w:rFonts w:ascii="黑体" w:hAnsi="黑体" w:eastAsia="黑体" w:cs="宋体"/>
                <w:sz w:val="18"/>
                <w:szCs w:val="18"/>
              </w:rPr>
            </w:pPr>
            <w:r>
              <w:rPr>
                <w:rFonts w:hint="eastAsia" w:ascii="黑体" w:hAnsi="黑体" w:eastAsia="黑体" w:cs="宋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cs="宋体"/>
                <w:sz w:val="18"/>
                <w:szCs w:val="18"/>
              </w:rPr>
              <w:t>以</w:t>
            </w:r>
            <w:r>
              <w:rPr>
                <w:rFonts w:hint="eastAsia" w:ascii="黑体" w:hAnsi="黑体" w:eastAsia="黑体" w:cs="宋体"/>
                <w:sz w:val="18"/>
                <w:szCs w:val="18"/>
              </w:rPr>
              <w:t>代理销售机构的展示</w:t>
            </w:r>
            <w:r>
              <w:rPr>
                <w:rFonts w:ascii="黑体" w:hAnsi="黑体" w:eastAsia="黑体" w:cs="宋体"/>
                <w:sz w:val="18"/>
                <w:szCs w:val="18"/>
              </w:rPr>
              <w:t>为准</w:t>
            </w:r>
            <w:r>
              <w:rPr>
                <w:rFonts w:hint="eastAsia" w:ascii="黑体" w:hAnsi="黑体" w:eastAsia="黑体" w:cs="宋体"/>
                <w:sz w:val="18"/>
                <w:szCs w:val="18"/>
              </w:rPr>
              <w:t>。</w:t>
            </w:r>
          </w:p>
          <w:p>
            <w:pPr>
              <w:spacing w:line="360" w:lineRule="auto"/>
              <w:rPr>
                <w:rFonts w:ascii="黑体" w:hAnsi="黑体" w:eastAsia="黑体" w:cs="宋体"/>
                <w:bCs/>
                <w:color w:val="000000"/>
                <w:sz w:val="18"/>
                <w:szCs w:val="18"/>
              </w:rPr>
            </w:pPr>
            <w:r>
              <w:rPr>
                <w:rFonts w:hint="eastAsia" w:ascii="黑体" w:hAnsi="黑体" w:eastAsia="黑体" w:cs="宋体"/>
                <w:sz w:val="18"/>
                <w:szCs w:val="18"/>
              </w:rPr>
              <w:t>②代理销售机构的实际工作服务时段，最早不得早于销售文件约定</w:t>
            </w:r>
            <w:r>
              <w:rPr>
                <w:rFonts w:ascii="黑体" w:hAnsi="黑体" w:eastAsia="黑体" w:cs="宋体"/>
                <w:sz w:val="18"/>
                <w:szCs w:val="18"/>
              </w:rPr>
              <w:t>的</w:t>
            </w:r>
            <w:r>
              <w:rPr>
                <w:rFonts w:hint="eastAsia" w:ascii="黑体" w:hAnsi="黑体" w:eastAsia="黑体" w:cs="宋体"/>
                <w:sz w:val="18"/>
                <w:szCs w:val="18"/>
              </w:rPr>
              <w:t>起始时点、最晚不得晚于销售文件</w:t>
            </w:r>
            <w:r>
              <w:rPr>
                <w:rFonts w:ascii="黑体" w:hAnsi="黑体" w:eastAsia="黑体" w:cs="宋体"/>
                <w:sz w:val="18"/>
                <w:szCs w:val="18"/>
              </w:rPr>
              <w:t>约定的</w:t>
            </w:r>
            <w:r>
              <w:rPr>
                <w:rFonts w:hint="eastAsia" w:ascii="黑体" w:hAnsi="黑体" w:eastAsia="黑体" w:cs="宋体"/>
                <w:sz w:val="18"/>
                <w:szCs w:val="18"/>
              </w:rPr>
              <w:t>终止时点</w:t>
            </w:r>
            <w:r>
              <w:rPr>
                <w:rFonts w:ascii="黑体" w:hAnsi="黑体" w:eastAsia="黑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704" w:type="dxa"/>
            <w:shd w:val="solid" w:color="FFFFFF" w:fill="FFFFFF"/>
            <w:vAlign w:val="center"/>
          </w:tcPr>
          <w:p>
            <w:pPr>
              <w:spacing w:line="360" w:lineRule="auto"/>
              <w:rPr>
                <w:rFonts w:ascii="宋体" w:hAnsi="宋体" w:eastAsia="宋体" w:cs="宋体"/>
                <w:bCs/>
                <w:color w:val="000000"/>
                <w:sz w:val="18"/>
                <w:szCs w:val="18"/>
              </w:rPr>
            </w:pPr>
            <w:r>
              <w:rPr>
                <w:rFonts w:hint="eastAsia" w:ascii="宋体" w:hAnsi="宋体" w:eastAsia="宋体" w:cs="宋体"/>
                <w:sz w:val="18"/>
                <w:szCs w:val="18"/>
              </w:rPr>
              <w:t>每笔</w:t>
            </w:r>
            <w:r>
              <w:rPr>
                <w:rFonts w:hint="eastAsia" w:ascii="宋体" w:hAnsi="宋体" w:eastAsia="宋体" w:cs="宋体"/>
                <w:bCs/>
                <w:sz w:val="18"/>
                <w:szCs w:val="18"/>
              </w:rPr>
              <w:t>购买起点金额为【</w:t>
            </w:r>
            <w:bookmarkStart w:id="97" w:name="sale_start"/>
            <w:bookmarkEnd w:id="97"/>
            <w:r>
              <w:rPr>
                <w:rFonts w:hint="eastAsia" w:ascii="宋体" w:hAnsi="宋体" w:eastAsia="宋体" w:cs="宋体"/>
                <w:bCs/>
                <w:sz w:val="18"/>
                <w:szCs w:val="18"/>
                <w:lang w:eastAsia="zh-CN"/>
              </w:rPr>
              <w:t>1.00</w:t>
            </w:r>
            <w:r>
              <w:rPr>
                <w:rFonts w:hint="eastAsia" w:ascii="宋体" w:hAnsi="宋体" w:eastAsia="宋体" w:cs="宋体"/>
                <w:bCs/>
                <w:sz w:val="18"/>
                <w:szCs w:val="18"/>
              </w:rPr>
              <w:t>】元；超出起点金额的部分以【</w:t>
            </w:r>
            <w:bookmarkStart w:id="98" w:name="increase"/>
            <w:bookmarkEnd w:id="98"/>
            <w:r>
              <w:rPr>
                <w:rFonts w:hint="eastAsia" w:ascii="宋体" w:hAnsi="宋体" w:eastAsia="宋体" w:cs="宋体"/>
                <w:bCs/>
                <w:sz w:val="18"/>
                <w:szCs w:val="18"/>
                <w:lang w:eastAsia="zh-CN"/>
              </w:rPr>
              <w:t>0.01</w:t>
            </w:r>
            <w:r>
              <w:rPr>
                <w:rFonts w:hint="eastAsia" w:ascii="宋体" w:hAnsi="宋体" w:eastAsia="宋体" w:cs="宋体"/>
                <w:bCs/>
                <w:sz w:val="18"/>
                <w:szCs w:val="18"/>
              </w:rPr>
              <w:t>】元的整数倍递增。</w:t>
            </w:r>
            <w:r>
              <w:rPr>
                <w:rFonts w:hint="eastAsia" w:ascii="宋体" w:hAnsi="宋体" w:eastAsia="宋体" w:cs="宋体"/>
                <w:bCs/>
                <w:color w:val="000000"/>
                <w:sz w:val="18"/>
                <w:szCs w:val="18"/>
              </w:rPr>
              <w:t>（</w:t>
            </w:r>
            <w:r>
              <w:rPr>
                <w:rFonts w:hint="eastAsia" w:ascii="宋体" w:hAnsi="宋体" w:eastAsia="宋体" w:cs="宋体"/>
                <w:bCs/>
                <w:color w:val="000000"/>
                <w:sz w:val="18"/>
                <w:szCs w:val="18"/>
                <w:lang w:eastAsia="zh-CN"/>
              </w:rPr>
              <w:t>适用【B】类份额</w:t>
            </w:r>
            <w:r>
              <w:rPr>
                <w:rFonts w:hint="eastAsia" w:ascii="宋体" w:hAnsi="宋体" w:eastAsia="宋体" w:cs="宋体"/>
                <w:bCs/>
                <w:color w:val="000000"/>
                <w:sz w:val="18"/>
                <w:szCs w:val="18"/>
              </w:rPr>
              <w:t>）</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ascii="Calibri" w:hAnsi="宋体" w:cs="宋体"/>
                <w:b/>
                <w:sz w:val="18"/>
                <w:szCs w:val="18"/>
              </w:rPr>
            </w:pPr>
            <w:r>
              <w:rPr>
                <w:rFonts w:hint="eastAsia" w:ascii="Calibri" w:hAnsi="宋体" w:cs="宋体"/>
                <w:b/>
                <w:sz w:val="18"/>
                <w:szCs w:val="18"/>
              </w:rPr>
              <w:t>★认购、申购与赎回的数量限制</w:t>
            </w:r>
          </w:p>
        </w:tc>
        <w:tc>
          <w:tcPr>
            <w:tcW w:w="7704" w:type="dxa"/>
            <w:shd w:val="solid" w:color="FFFFFF" w:fill="FFFFFF"/>
            <w:vAlign w:val="center"/>
          </w:tcPr>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（适用【</w:t>
            </w:r>
            <w:r>
              <w:rPr>
                <w:rFonts w:hint="eastAsia" w:ascii="宋体" w:hAnsi="宋体" w:eastAsia="宋体" w:cs="宋体"/>
                <w:color w:val="auto"/>
                <w:sz w:val="18"/>
                <w:szCs w:val="18"/>
                <w:lang w:val="en-US" w:eastAsia="zh-CN" w:bidi="ar-SA"/>
              </w:rPr>
              <w:t>/</w:t>
            </w:r>
            <w:r>
              <w:rPr>
                <w:rFonts w:hint="eastAsia" w:ascii="宋体" w:hAnsi="宋体" w:eastAsia="宋体" w:cs="宋体"/>
                <w:bCs/>
                <w:color w:val="000000"/>
                <w:sz w:val="18"/>
                <w:szCs w:val="18"/>
                <w:lang w:val="en-US" w:eastAsia="zh-CN" w:bidi="ar-SA"/>
              </w:rPr>
              <w:t>】类份额）</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1.认购的数量限制</w:t>
            </w:r>
          </w:p>
          <w:p>
            <w:pPr>
              <w:widowControl w:val="0"/>
              <w:autoSpaceDE w:val="0"/>
              <w:autoSpaceDN w:val="0"/>
              <w:adjustRightInd w:val="0"/>
              <w:spacing w:line="360" w:lineRule="auto"/>
              <w:rPr>
                <w:rFonts w:ascii="宋体" w:hAnsi="宋体" w:eastAsia="宋体" w:cs="宋体"/>
                <w:bCs/>
                <w:color w:val="000000"/>
                <w:sz w:val="18"/>
                <w:szCs w:val="18"/>
                <w:lang w:val="en-US" w:eastAsia="zh-CN" w:bidi="ar-SA"/>
              </w:rPr>
            </w:pPr>
            <w:r>
              <w:rPr>
                <w:rFonts w:hint="eastAsia" w:ascii="宋体" w:hAnsi="宋体" w:eastAsia="宋体" w:cs="宋体"/>
                <w:color w:val="auto"/>
                <w:sz w:val="18"/>
                <w:szCs w:val="18"/>
                <w:lang w:val="en-US" w:eastAsia="zh-CN" w:bidi="ar-SA"/>
              </w:rPr>
              <w:t>单一投资者认购上限为【/】。如需突破上限，请与产品管理人或销售机构客户经理联系。</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2.</w:t>
            </w:r>
            <w:r>
              <w:rPr>
                <w:rFonts w:hint="eastAsia" w:ascii="宋体" w:hAnsi="宋体" w:eastAsia="宋体" w:cs="宋体"/>
                <w:color w:val="auto"/>
                <w:sz w:val="18"/>
                <w:szCs w:val="18"/>
                <w:lang w:val="en-US" w:eastAsia="zh-CN" w:bidi="ar-SA"/>
              </w:rPr>
              <w:t>申购的数量限制</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（1）单一投资者申购上限为【/】。</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（2）产品</w:t>
            </w:r>
            <w:r>
              <w:rPr>
                <w:rFonts w:ascii="宋体" w:hAnsi="宋体" w:eastAsia="宋体" w:cs="宋体"/>
                <w:color w:val="auto"/>
                <w:sz w:val="18"/>
                <w:szCs w:val="18"/>
                <w:lang w:val="en-US" w:eastAsia="zh-CN" w:bidi="ar-SA"/>
              </w:rPr>
              <w:t>存续期间，</w:t>
            </w:r>
            <w:r>
              <w:rPr>
                <w:rFonts w:hint="eastAsia" w:ascii="宋体" w:hAnsi="宋体" w:eastAsia="宋体" w:cs="宋体"/>
                <w:color w:val="auto"/>
                <w:sz w:val="18"/>
                <w:szCs w:val="18"/>
                <w:lang w:val="en-US" w:eastAsia="zh-CN" w:bidi="ar-SA"/>
              </w:rPr>
              <w:t>单一投资者</w:t>
            </w:r>
            <w:r>
              <w:rPr>
                <w:rFonts w:ascii="宋体" w:hAnsi="宋体" w:eastAsia="宋体" w:cs="宋体"/>
                <w:color w:val="auto"/>
                <w:sz w:val="18"/>
                <w:szCs w:val="18"/>
                <w:lang w:val="en-US" w:eastAsia="zh-CN" w:bidi="ar-SA"/>
              </w:rPr>
              <w:t>最高</w:t>
            </w:r>
            <w:r>
              <w:rPr>
                <w:rFonts w:hint="eastAsia" w:ascii="宋体" w:hAnsi="宋体" w:eastAsia="宋体" w:cs="宋体"/>
                <w:color w:val="auto"/>
                <w:sz w:val="18"/>
                <w:szCs w:val="18"/>
                <w:lang w:val="en-US" w:eastAsia="zh-CN" w:bidi="ar-SA"/>
              </w:rPr>
              <w:t>持有</w:t>
            </w:r>
            <w:r>
              <w:rPr>
                <w:rFonts w:ascii="宋体" w:hAnsi="宋体" w:eastAsia="宋体" w:cs="宋体"/>
                <w:color w:val="auto"/>
                <w:sz w:val="18"/>
                <w:szCs w:val="18"/>
                <w:lang w:val="en-US" w:eastAsia="zh-CN" w:bidi="ar-SA"/>
              </w:rPr>
              <w:t>份额上限为</w:t>
            </w:r>
            <w:r>
              <w:rPr>
                <w:rFonts w:hint="eastAsia" w:ascii="宋体" w:hAnsi="宋体" w:eastAsia="宋体" w:cs="宋体"/>
                <w:color w:val="auto"/>
                <w:sz w:val="18"/>
                <w:szCs w:val="18"/>
                <w:lang w:val="en-US" w:eastAsia="zh-CN" w:bidi="ar-SA"/>
              </w:rPr>
              <w:t>【/】，符合产品管理人流动性管理的稳定资金除外。</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3.赎回的数量限制</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（1）单一投资者赎回上限为【/】。</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投资者可全部或部分赎回其理财份额，但是部分赎回后单一投资者持有产品份额不得低于【/】。受理财利益分配去尾规则的影响，投资者持有产品份额较低时可能无法取得利益。巨额赎回情景发生时，投资者的可赎回份额需要根据巨额赎回规则确定。</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注</w:t>
            </w:r>
            <w:r>
              <w:rPr>
                <w:rFonts w:ascii="黑体" w:hAnsi="黑体" w:eastAsia="黑体" w:cs="宋体"/>
                <w:color w:val="000000"/>
                <w:sz w:val="18"/>
                <w:szCs w:val="18"/>
                <w:lang w:val="en-US" w:eastAsia="zh-CN" w:bidi="ar-SA"/>
              </w:rPr>
              <w:t>：</w:t>
            </w:r>
            <w:r>
              <w:rPr>
                <w:rFonts w:hint="eastAsia" w:ascii="黑体" w:hAnsi="黑体" w:eastAsia="黑体" w:cs="宋体"/>
                <w:color w:val="000000"/>
                <w:sz w:val="18"/>
                <w:szCs w:val="18"/>
                <w:lang w:val="en-US" w:eastAsia="zh-CN" w:bidi="ar-SA"/>
              </w:rPr>
              <w:t>本产品单一投资者持有份额不得超过产品总份额50%。</w:t>
            </w:r>
          </w:p>
          <w:p>
            <w:pPr>
              <w:widowControl w:val="0"/>
              <w:autoSpaceDE w:val="0"/>
              <w:autoSpaceDN w:val="0"/>
              <w:adjustRightInd w:val="0"/>
              <w:spacing w:line="360" w:lineRule="auto"/>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（1）投资者认购或申购确认后可能导致其持有份额超过产品总份额50%的，管理人有权拒绝或暂停认购、申购。</w:t>
            </w:r>
          </w:p>
          <w:p>
            <w:pPr>
              <w:widowControl w:val="0"/>
              <w:autoSpaceDE w:val="0"/>
              <w:autoSpaceDN w:val="0"/>
              <w:adjustRightInd w:val="0"/>
              <w:spacing w:line="360" w:lineRule="auto"/>
              <w:rPr>
                <w:rFonts w:ascii="黑体" w:hAnsi="黑体" w:eastAsia="黑体" w:cs="宋体"/>
                <w:bCs/>
                <w:color w:val="000000"/>
                <w:sz w:val="18"/>
                <w:szCs w:val="18"/>
                <w:lang w:val="en-US" w:eastAsia="zh-CN" w:bidi="ar-SA"/>
              </w:rPr>
            </w:pPr>
            <w:r>
              <w:rPr>
                <w:rFonts w:hint="eastAsia" w:ascii="黑体" w:hAnsi="黑体" w:eastAsia="黑体" w:cs="宋体"/>
                <w:color w:val="000000"/>
                <w:sz w:val="18"/>
                <w:szCs w:val="18"/>
                <w:lang w:val="en-US" w:eastAsia="zh-CN" w:bidi="ar-SA"/>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Calibri" w:hAnsi="宋体" w:cs="宋体"/>
                <w:b/>
                <w:sz w:val="18"/>
                <w:szCs w:val="18"/>
              </w:rPr>
            </w:pPr>
            <w:r>
              <w:rPr>
                <w:rFonts w:hint="eastAsia" w:ascii="Calibri" w:hAnsi="Calibri" w:cs="宋体"/>
                <w:sz w:val="18"/>
                <w:szCs w:val="18"/>
              </w:rPr>
              <w:t>★</w:t>
            </w:r>
            <w:r>
              <w:rPr>
                <w:rFonts w:hint="eastAsia" w:ascii="Calibri" w:hAnsi="宋体" w:cs="宋体"/>
                <w:b/>
                <w:sz w:val="18"/>
                <w:szCs w:val="18"/>
              </w:rPr>
              <w:t>巨额赎回的认定</w:t>
            </w:r>
          </w:p>
        </w:tc>
        <w:tc>
          <w:tcPr>
            <w:tcW w:w="7704" w:type="dxa"/>
            <w:shd w:val="solid" w:color="FFFFFF" w:fill="FFFFFF"/>
          </w:tcPr>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每</w:t>
            </w:r>
            <w:r>
              <w:rPr>
                <w:rFonts w:ascii="宋体" w:hAnsi="宋体" w:eastAsia="宋体" w:cs="宋体"/>
                <w:bCs/>
                <w:color w:val="000000"/>
                <w:sz w:val="18"/>
                <w:szCs w:val="18"/>
                <w:lang w:val="en-US" w:eastAsia="zh-CN" w:bidi="ar-SA"/>
              </w:rPr>
              <w:t>个</w:t>
            </w:r>
            <w:r>
              <w:rPr>
                <w:rFonts w:hint="eastAsia" w:ascii="宋体" w:hAnsi="宋体" w:eastAsia="宋体" w:cs="宋体"/>
                <w:bCs/>
                <w:color w:val="000000"/>
                <w:sz w:val="18"/>
                <w:szCs w:val="18"/>
                <w:lang w:val="en-US" w:eastAsia="zh-CN" w:bidi="ar-SA"/>
              </w:rPr>
              <w:t>赎回</w:t>
            </w:r>
            <w:r>
              <w:rPr>
                <w:rFonts w:ascii="宋体" w:hAnsi="宋体" w:eastAsia="宋体" w:cs="宋体"/>
                <w:bCs/>
                <w:color w:val="000000"/>
                <w:sz w:val="18"/>
                <w:szCs w:val="18"/>
                <w:lang w:val="en-US" w:eastAsia="zh-CN" w:bidi="ar-SA"/>
              </w:rPr>
              <w:t>日</w:t>
            </w:r>
            <w:r>
              <w:rPr>
                <w:rFonts w:hint="eastAsia" w:ascii="宋体" w:hAnsi="宋体" w:eastAsia="宋体" w:cs="宋体"/>
                <w:bCs/>
                <w:color w:val="000000"/>
                <w:sz w:val="18"/>
                <w:szCs w:val="18"/>
                <w:lang w:val="en-US" w:eastAsia="zh-CN" w:bidi="ar-SA"/>
              </w:rPr>
              <w:t>，本产品的净赎回申请（赎回</w:t>
            </w:r>
            <w:r>
              <w:rPr>
                <w:rFonts w:hint="eastAsia" w:ascii="宋体" w:hAnsi="宋体" w:eastAsia="宋体" w:cs="宋体"/>
                <w:bCs/>
                <w:color w:val="auto"/>
                <w:sz w:val="18"/>
                <w:szCs w:val="18"/>
                <w:lang w:val="en-US" w:eastAsia="zh-CN" w:bidi="ar-SA"/>
              </w:rPr>
              <w:t>申请</w:t>
            </w:r>
            <w:r>
              <w:rPr>
                <w:rFonts w:hint="eastAsia" w:ascii="宋体" w:hAnsi="宋体" w:eastAsia="宋体" w:cs="宋体"/>
                <w:bCs/>
                <w:color w:val="000000"/>
                <w:sz w:val="18"/>
                <w:szCs w:val="18"/>
                <w:lang w:val="en-US" w:eastAsia="zh-CN" w:bidi="ar-SA"/>
              </w:rPr>
              <w:t>份额总数扣除申购</w:t>
            </w:r>
            <w:r>
              <w:rPr>
                <w:rFonts w:hint="eastAsia" w:ascii="宋体" w:hAnsi="宋体" w:eastAsia="宋体" w:cs="宋体"/>
                <w:bCs/>
                <w:color w:val="auto"/>
                <w:sz w:val="18"/>
                <w:szCs w:val="18"/>
                <w:lang w:val="en-US" w:eastAsia="zh-CN" w:bidi="ar-SA"/>
              </w:rPr>
              <w:t>申请</w:t>
            </w:r>
            <w:r>
              <w:rPr>
                <w:rFonts w:hint="eastAsia" w:ascii="宋体" w:hAnsi="宋体" w:eastAsia="宋体" w:cs="宋体"/>
                <w:bCs/>
                <w:color w:val="000000"/>
                <w:sz w:val="18"/>
                <w:szCs w:val="18"/>
                <w:lang w:val="en-US" w:eastAsia="zh-CN" w:bidi="ar-SA"/>
              </w:rPr>
              <w:t>份额总数后的余额</w:t>
            </w:r>
            <w:r>
              <w:rPr>
                <w:rFonts w:ascii="宋体" w:hAnsi="宋体" w:eastAsia="宋体" w:cs="宋体"/>
                <w:bCs/>
                <w:color w:val="000000"/>
                <w:sz w:val="18"/>
                <w:szCs w:val="18"/>
                <w:lang w:val="en-US" w:eastAsia="zh-CN" w:bidi="ar-SA"/>
              </w:rPr>
              <w:t>,</w:t>
            </w:r>
            <w:r>
              <w:rPr>
                <w:rFonts w:hint="eastAsia" w:ascii="宋体" w:hAnsi="宋体" w:eastAsia="宋体" w:cs="宋体"/>
                <w:bCs/>
                <w:color w:val="000000"/>
                <w:sz w:val="18"/>
                <w:szCs w:val="18"/>
                <w:lang w:val="en-US" w:eastAsia="zh-CN" w:bidi="ar-SA"/>
              </w:rPr>
              <w:t>下同）之和达到上一赎回日产品总份额的【</w:t>
            </w:r>
            <w:r>
              <w:rPr>
                <w:rFonts w:ascii="宋体" w:hAnsi="宋体" w:eastAsia="宋体" w:cs="宋体"/>
                <w:bCs/>
                <w:color w:val="000000"/>
                <w:sz w:val="18"/>
                <w:szCs w:val="18"/>
                <w:lang w:val="en-US" w:eastAsia="zh-CN" w:bidi="ar-SA"/>
              </w:rPr>
              <w:t>10</w:t>
            </w:r>
            <w:r>
              <w:rPr>
                <w:rFonts w:hint="eastAsia" w:ascii="宋体" w:hAnsi="宋体" w:eastAsia="宋体" w:cs="宋体"/>
                <w:bCs/>
                <w:color w:val="000000"/>
                <w:sz w:val="18"/>
                <w:szCs w:val="18"/>
                <w:lang w:val="en-US" w:eastAsia="zh-CN" w:bidi="ar-SA"/>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70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70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理财产品的费用和税收</w:t>
            </w:r>
            <w:r>
              <w:rPr>
                <w:rFonts w:ascii="宋体" w:hAnsi="宋体" w:eastAsia="宋体" w:cs="宋体"/>
                <w:bCs/>
                <w:sz w:val="18"/>
                <w:szCs w:val="18"/>
              </w:rPr>
              <w:t>。</w:t>
            </w:r>
          </w:p>
          <w:p>
            <w:pPr>
              <w:spacing w:line="360" w:lineRule="auto"/>
              <w:jc w:val="left"/>
              <w:rPr>
                <w:rFonts w:ascii="宋体" w:hAnsi="宋体" w:cs="Times New Roman"/>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赎回日</w:t>
            </w:r>
            <w:r>
              <w:rPr>
                <w:rFonts w:ascii="宋体" w:hAnsi="宋体" w:eastAsia="宋体" w:cs="宋体"/>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704" w:type="dxa"/>
            <w:shd w:val="solid" w:color="FFFFFF" w:fill="FFFFFF"/>
            <w:vAlign w:val="center"/>
          </w:tcPr>
          <w:p>
            <w:pPr>
              <w:spacing w:line="360" w:lineRule="auto"/>
              <w:jc w:val="left"/>
              <w:rPr>
                <w:rFonts w:ascii="宋体" w:hAnsi="宋体" w:cs="宋体"/>
                <w:bCs/>
                <w:sz w:val="18"/>
                <w:szCs w:val="18"/>
              </w:rPr>
            </w:pPr>
            <w:r>
              <w:rPr>
                <w:rFonts w:hint="eastAsia" w:ascii="Calibri" w:hAnsi="宋体" w:cs="宋体"/>
                <w:bCs/>
                <w:sz w:val="18"/>
                <w:szCs w:val="18"/>
              </w:rPr>
              <w:t>（</w:t>
            </w:r>
            <w:r>
              <w:rPr>
                <w:rFonts w:hint="eastAsia" w:ascii="Calibri" w:hAnsi="宋体" w:cs="宋体"/>
                <w:bCs/>
                <w:sz w:val="18"/>
                <w:szCs w:val="18"/>
                <w:lang w:eastAsia="zh-CN"/>
              </w:rPr>
              <w:t>适用【B】类份额</w:t>
            </w:r>
            <w:r>
              <w:rPr>
                <w:rFonts w:hint="eastAsia" w:ascii="Calibri" w:hAnsi="宋体" w:cs="宋体"/>
                <w:bCs/>
                <w:sz w:val="18"/>
                <w:szCs w:val="18"/>
              </w:rPr>
              <w:t>）</w:t>
            </w:r>
          </w:p>
          <w:p>
            <w:pPr>
              <w:spacing w:line="360" w:lineRule="auto"/>
              <w:jc w:val="left"/>
              <w:rPr>
                <w:rFonts w:ascii="宋体" w:hAnsi="宋体" w:cs="宋体"/>
                <w:bCs/>
                <w:sz w:val="18"/>
                <w:szCs w:val="18"/>
              </w:rPr>
            </w:pPr>
            <w:r>
              <w:rPr>
                <w:rFonts w:ascii="宋体" w:hAnsi="宋体" w:cs="宋体"/>
                <w:bCs/>
                <w:sz w:val="18"/>
                <w:szCs w:val="18"/>
              </w:rPr>
              <w:t>1.业绩比较基准的设置</w:t>
            </w:r>
          </w:p>
          <w:p>
            <w:pPr>
              <w:autoSpaceDE w:val="0"/>
              <w:autoSpaceDN w:val="0"/>
              <w:adjustRightInd w:val="0"/>
              <w:spacing w:line="360" w:lineRule="auto"/>
              <w:jc w:val="left"/>
              <w:rPr>
                <w:rFonts w:ascii="宋体" w:hAnsi="宋体" w:eastAsia="宋体" w:cs="宋体"/>
                <w:bCs/>
                <w:kern w:val="0"/>
                <w:sz w:val="18"/>
                <w:szCs w:val="18"/>
              </w:rPr>
            </w:pPr>
            <w:r>
              <w:rPr>
                <w:rFonts w:hint="eastAsia" w:ascii="宋体" w:hAnsi="宋体" w:eastAsia="宋体" w:cs="宋体"/>
                <w:bCs/>
                <w:sz w:val="18"/>
                <w:szCs w:val="18"/>
              </w:rPr>
              <w:t>■</w:t>
            </w:r>
            <w:r>
              <w:rPr>
                <w:rFonts w:ascii="宋体" w:hAnsi="宋体" w:eastAsia="宋体" w:cs="宋体"/>
                <w:b/>
                <w:kern w:val="0"/>
                <w:sz w:val="18"/>
                <w:szCs w:val="18"/>
              </w:rPr>
              <w:t xml:space="preserve"> </w:t>
            </w:r>
            <w:r>
              <w:rPr>
                <w:rFonts w:hint="eastAsia" w:ascii="宋体" w:hAnsi="宋体" w:eastAsia="宋体" w:cs="宋体"/>
                <w:bCs/>
                <w:kern w:val="0"/>
                <w:sz w:val="18"/>
                <w:szCs w:val="18"/>
              </w:rPr>
              <w:t>产品管理人设置业绩比较基准。</w:t>
            </w:r>
          </w:p>
          <w:p>
            <w:pPr>
              <w:spacing w:line="360" w:lineRule="auto"/>
              <w:jc w:val="left"/>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1）业绩比较基准的说明：【</w:t>
            </w:r>
            <w:r>
              <w:rPr>
                <w:rFonts w:hint="eastAsia" w:ascii="宋体" w:hAnsi="宋体" w:eastAsia="宋体" w:cs="宋体"/>
                <w:bCs/>
                <w:sz w:val="18"/>
                <w:szCs w:val="18"/>
              </w:rPr>
              <w:t>基于当前对未来市场的判断，根据拟投资债权类资产的信用利差、久期敞口以及流动性溢价，预判组合的波动幅度</w:t>
            </w:r>
            <w:r>
              <w:rPr>
                <w:rFonts w:ascii="宋体" w:hAnsi="宋体" w:cs="宋体"/>
                <w:bCs/>
                <w:sz w:val="18"/>
                <w:szCs w:val="18"/>
              </w:rPr>
              <w:t>】</w:t>
            </w:r>
            <w:r>
              <w:rPr>
                <w:rFonts w:hint="eastAsia" w:ascii="宋体" w:hAnsi="宋体" w:cs="宋体"/>
                <w:bCs/>
                <w:sz w:val="18"/>
                <w:szCs w:val="18"/>
              </w:rPr>
              <w:t>。</w:t>
            </w:r>
          </w:p>
          <w:p>
            <w:pPr>
              <w:spacing w:line="360" w:lineRule="auto"/>
              <w:jc w:val="left"/>
              <w:rPr>
                <w:rFonts w:ascii="宋体" w:hAnsi="宋体" w:cs="宋体"/>
                <w:bCs/>
                <w:sz w:val="18"/>
                <w:szCs w:val="22"/>
              </w:rPr>
            </w:pPr>
            <w:r>
              <w:rPr>
                <w:rFonts w:hint="eastAsia" w:ascii="宋体" w:hAnsi="宋体" w:eastAsia="宋体" w:cs="宋体"/>
                <w:bCs/>
                <w:sz w:val="18"/>
                <w:szCs w:val="18"/>
              </w:rPr>
              <w:t>（</w:t>
            </w:r>
            <w:r>
              <w:rPr>
                <w:rFonts w:ascii="宋体" w:hAnsi="宋体" w:eastAsia="宋体" w:cs="宋体"/>
                <w:bCs/>
                <w:sz w:val="18"/>
                <w:szCs w:val="18"/>
              </w:rPr>
              <w:t>2）业绩比较基准的设定</w:t>
            </w:r>
            <w:r>
              <w:rPr>
                <w:rFonts w:hint="eastAsia" w:ascii="宋体" w:hAnsi="宋体" w:eastAsia="宋体" w:cs="宋体"/>
                <w:bCs/>
                <w:sz w:val="18"/>
                <w:szCs w:val="18"/>
              </w:rPr>
              <w:t>：</w:t>
            </w:r>
            <w:r>
              <w:rPr>
                <w:rFonts w:hint="eastAsia" w:ascii="宋体" w:hAnsi="宋体" w:cs="宋体"/>
                <w:bCs/>
                <w:sz w:val="18"/>
                <w:szCs w:val="22"/>
              </w:rPr>
              <w:t>管理人对</w:t>
            </w:r>
            <w:r>
              <w:rPr>
                <w:rFonts w:ascii="宋体" w:hAnsi="宋体" w:cs="宋体"/>
                <w:bCs/>
                <w:sz w:val="18"/>
                <w:szCs w:val="22"/>
              </w:rPr>
              <w:t>本产品设定</w:t>
            </w:r>
            <w:r>
              <w:rPr>
                <w:rFonts w:hint="eastAsia" w:ascii="宋体" w:hAnsi="宋体" w:cs="宋体"/>
                <w:bCs/>
                <w:sz w:val="18"/>
                <w:szCs w:val="22"/>
              </w:rPr>
              <w:t>业绩比较基准：</w:t>
            </w:r>
          </w:p>
          <w:p>
            <w:pPr>
              <w:autoSpaceDE w:val="0"/>
              <w:autoSpaceDN w:val="0"/>
              <w:adjustRightInd w:val="0"/>
              <w:spacing w:line="360" w:lineRule="auto"/>
              <w:jc w:val="left"/>
              <w:rPr>
                <w:rFonts w:hint="eastAsia" w:ascii="宋体" w:hAnsi="宋体" w:eastAsia="宋体" w:cs="宋体"/>
                <w:bCs/>
                <w:kern w:val="0"/>
                <w:sz w:val="18"/>
                <w:szCs w:val="18"/>
                <w:lang w:eastAsia="zh-CN"/>
              </w:rPr>
            </w:pPr>
            <w:bookmarkStart w:id="99" w:name="performance"/>
            <w:bookmarkEnd w:id="99"/>
            <w:r>
              <w:rPr>
                <w:rFonts w:hint="eastAsia" w:ascii="宋体" w:hAnsi="宋体" w:eastAsia="宋体" w:cs="宋体"/>
                <w:bCs/>
                <w:kern w:val="0"/>
                <w:sz w:val="18"/>
                <w:szCs w:val="18"/>
                <w:lang w:eastAsia="zh-CN"/>
              </w:rPr>
              <w:t>【中债-新综合全价(1年以下)指数收益率*60%+人民银行7天通知存款利率*40%】（适用【B】类份额）</w:t>
            </w:r>
          </w:p>
          <w:p>
            <w:pPr>
              <w:autoSpaceDE w:val="0"/>
              <w:autoSpaceDN w:val="0"/>
              <w:adjustRightInd w:val="0"/>
              <w:spacing w:line="360" w:lineRule="auto"/>
              <w:jc w:val="left"/>
              <w:rPr>
                <w:rFonts w:ascii="宋体" w:hAnsi="宋体" w:eastAsia="宋体" w:cs="宋体"/>
                <w:bCs/>
                <w:kern w:val="0"/>
                <w:sz w:val="18"/>
                <w:szCs w:val="18"/>
              </w:rPr>
            </w:pPr>
            <w:r>
              <w:rPr>
                <w:rFonts w:hint="eastAsia" w:ascii="宋体" w:hAnsi="宋体" w:eastAsia="宋体" w:cs="宋体"/>
                <w:bCs/>
                <w:kern w:val="0"/>
                <w:sz w:val="18"/>
                <w:szCs w:val="18"/>
              </w:rPr>
              <w:t>□</w:t>
            </w:r>
            <w:r>
              <w:rPr>
                <w:rFonts w:ascii="宋体" w:hAnsi="宋体" w:eastAsia="宋体" w:cs="宋体"/>
                <w:bCs/>
                <w:kern w:val="0"/>
                <w:sz w:val="18"/>
                <w:szCs w:val="18"/>
              </w:rPr>
              <w:t xml:space="preserve"> </w:t>
            </w:r>
            <w:r>
              <w:rPr>
                <w:rFonts w:hint="eastAsia" w:ascii="宋体" w:hAnsi="宋体" w:eastAsia="宋体" w:cs="宋体"/>
                <w:bCs/>
                <w:kern w:val="0"/>
                <w:sz w:val="18"/>
                <w:szCs w:val="18"/>
              </w:rPr>
              <w:t>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szCs w:val="22"/>
              </w:rPr>
              <w:t>业绩比较基准</w:t>
            </w:r>
            <w:r>
              <w:rPr>
                <w:rFonts w:hint="eastAsia" w:ascii="黑体" w:hAnsi="黑体" w:eastAsia="黑体" w:cs="黑体"/>
                <w:bCs/>
                <w:sz w:val="18"/>
                <w:szCs w:val="18"/>
              </w:rPr>
              <w:t>不是预期收益率，</w:t>
            </w:r>
            <w:r>
              <w:rPr>
                <w:rFonts w:hint="eastAsia" w:ascii="黑体" w:hAnsi="黑体" w:eastAsia="黑体" w:cs="黑体"/>
                <w:bCs/>
                <w:sz w:val="18"/>
                <w:szCs w:val="22"/>
              </w:rPr>
              <w:t>不代表产品</w:t>
            </w:r>
            <w:r>
              <w:rPr>
                <w:rFonts w:hint="eastAsia" w:ascii="黑体" w:hAnsi="黑体" w:eastAsia="黑体" w:cs="黑体"/>
                <w:bCs/>
                <w:sz w:val="18"/>
                <w:szCs w:val="18"/>
              </w:rPr>
              <w:t>的</w:t>
            </w:r>
            <w:r>
              <w:rPr>
                <w:rFonts w:hint="eastAsia" w:ascii="黑体" w:hAnsi="黑体" w:eastAsia="黑体" w:cs="黑体"/>
                <w:bCs/>
                <w:sz w:val="18"/>
                <w:szCs w:val="22"/>
              </w:rPr>
              <w:t>未来表现</w:t>
            </w:r>
            <w:r>
              <w:rPr>
                <w:rFonts w:hint="eastAsia" w:ascii="黑体" w:hAnsi="黑体" w:eastAsia="黑体" w:cs="黑体"/>
                <w:bCs/>
                <w:sz w:val="18"/>
                <w:szCs w:val="18"/>
              </w:rPr>
              <w:t>和</w:t>
            </w:r>
            <w:r>
              <w:rPr>
                <w:rFonts w:hint="eastAsia" w:ascii="黑体" w:hAnsi="黑体" w:eastAsia="黑体" w:cs="黑体"/>
                <w:bCs/>
                <w:sz w:val="18"/>
                <w:szCs w:val="22"/>
              </w:rPr>
              <w:t>实际收益，不</w:t>
            </w:r>
            <w:r>
              <w:rPr>
                <w:rFonts w:hint="eastAsia" w:ascii="黑体" w:hAnsi="黑体" w:eastAsia="黑体" w:cs="黑体"/>
                <w:bCs/>
                <w:sz w:val="18"/>
                <w:szCs w:val="18"/>
              </w:rPr>
              <w:t>构成对</w:t>
            </w:r>
            <w:r>
              <w:rPr>
                <w:rFonts w:hint="eastAsia" w:ascii="黑体" w:hAnsi="黑体" w:eastAsia="黑体" w:cs="黑体"/>
                <w:bCs/>
                <w:sz w:val="18"/>
                <w:szCs w:val="22"/>
              </w:rPr>
              <w:t>产品收益的</w:t>
            </w:r>
            <w:r>
              <w:rPr>
                <w:rFonts w:hint="eastAsia" w:ascii="黑体" w:hAnsi="黑体" w:eastAsia="黑体" w:cs="黑体"/>
                <w:bCs/>
                <w:sz w:val="18"/>
                <w:szCs w:val="18"/>
              </w:rPr>
              <w:t>承诺</w:t>
            </w:r>
            <w:r>
              <w:rPr>
                <w:rFonts w:hint="eastAsia" w:ascii="黑体" w:hAnsi="黑体" w:eastAsia="黑体" w:cs="黑体"/>
                <w:bCs/>
                <w:sz w:val="18"/>
                <w:szCs w:val="22"/>
              </w:rPr>
              <w:t>，投资须谨慎。</w:t>
            </w:r>
          </w:p>
          <w:p>
            <w:pPr>
              <w:spacing w:line="360" w:lineRule="auto"/>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宋体" w:hAnsi="宋体" w:eastAsia="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业绩报酬计提基准</w:t>
            </w:r>
          </w:p>
        </w:tc>
        <w:tc>
          <w:tcPr>
            <w:tcW w:w="770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（适用【</w:t>
            </w:r>
            <w:r>
              <w:rPr>
                <w:rFonts w:hint="eastAsia" w:ascii="宋体" w:hAnsi="宋体" w:cs="宋体"/>
                <w:bCs/>
                <w:sz w:val="18"/>
                <w:szCs w:val="22"/>
              </w:rPr>
              <w:t>/</w:t>
            </w:r>
            <w:r>
              <w:rPr>
                <w:rFonts w:hint="eastAsia" w:ascii="Calibri" w:hAnsi="宋体" w:cs="宋体"/>
                <w:bCs/>
                <w:sz w:val="18"/>
                <w:szCs w:val="18"/>
              </w:rPr>
              <w:t>】类份额）</w:t>
            </w:r>
          </w:p>
          <w:p>
            <w:pPr>
              <w:spacing w:line="360" w:lineRule="auto"/>
              <w:jc w:val="left"/>
              <w:rPr>
                <w:rFonts w:ascii="宋体" w:hAnsi="宋体" w:cs="宋体"/>
                <w:bCs/>
                <w:sz w:val="18"/>
                <w:szCs w:val="18"/>
              </w:rPr>
            </w:pPr>
            <w:r>
              <w:rPr>
                <w:rFonts w:ascii="宋体" w:hAnsi="宋体" w:cs="宋体"/>
                <w:bCs/>
                <w:sz w:val="18"/>
                <w:szCs w:val="18"/>
              </w:rPr>
              <w:t>1.业绩报酬计提基准的设置</w:t>
            </w:r>
          </w:p>
          <w:p>
            <w:pPr>
              <w:autoSpaceDE w:val="0"/>
              <w:autoSpaceDN w:val="0"/>
              <w:adjustRightInd w:val="0"/>
              <w:spacing w:line="360" w:lineRule="auto"/>
              <w:jc w:val="left"/>
              <w:rPr>
                <w:rFonts w:ascii="宋体" w:hAnsi="宋体" w:eastAsia="宋体" w:cs="宋体"/>
                <w:bCs/>
                <w:kern w:val="0"/>
                <w:sz w:val="18"/>
                <w:szCs w:val="18"/>
              </w:rPr>
            </w:pPr>
            <w:r>
              <w:rPr>
                <w:rFonts w:hint="eastAsia" w:ascii="宋体" w:hAnsi="宋体" w:eastAsia="宋体" w:cs="宋体"/>
                <w:bCs/>
                <w:kern w:val="0"/>
                <w:sz w:val="18"/>
                <w:szCs w:val="18"/>
              </w:rPr>
              <w:t>□</w:t>
            </w:r>
            <w:r>
              <w:rPr>
                <w:rFonts w:ascii="宋体" w:hAnsi="宋体" w:eastAsia="宋体" w:cs="宋体"/>
                <w:bCs/>
                <w:kern w:val="0"/>
                <w:sz w:val="18"/>
                <w:szCs w:val="18"/>
              </w:rPr>
              <w:t xml:space="preserve"> </w:t>
            </w:r>
            <w:r>
              <w:rPr>
                <w:rFonts w:hint="eastAsia" w:ascii="宋体" w:hAnsi="宋体" w:eastAsia="宋体" w:cs="宋体"/>
                <w:bCs/>
                <w:kern w:val="0"/>
                <w:sz w:val="18"/>
                <w:szCs w:val="18"/>
              </w:rPr>
              <w:t>产品管理人设置业绩报酬计提基准。</w:t>
            </w:r>
          </w:p>
          <w:p>
            <w:pPr>
              <w:spacing w:line="360" w:lineRule="auto"/>
              <w:jc w:val="left"/>
              <w:rPr>
                <w:rFonts w:ascii="宋体" w:hAnsi="宋体" w:cs="宋体"/>
                <w:bCs/>
                <w:sz w:val="18"/>
                <w:szCs w:val="22"/>
              </w:rPr>
            </w:pPr>
            <w:r>
              <w:rPr>
                <w:rFonts w:ascii="宋体" w:hAnsi="宋体" w:cs="宋体"/>
                <w:bCs/>
                <w:sz w:val="18"/>
                <w:szCs w:val="18"/>
              </w:rPr>
              <w:t>业绩报酬计提基准的</w:t>
            </w:r>
            <w:r>
              <w:rPr>
                <w:rFonts w:ascii="宋体" w:hAnsi="宋体" w:cs="宋体"/>
                <w:bCs/>
                <w:sz w:val="18"/>
                <w:szCs w:val="22"/>
              </w:rPr>
              <w:t>设定</w:t>
            </w:r>
            <w:r>
              <w:rPr>
                <w:rFonts w:hint="eastAsia" w:ascii="宋体" w:hAnsi="宋体" w:cs="宋体"/>
                <w:bCs/>
                <w:sz w:val="18"/>
                <w:szCs w:val="22"/>
              </w:rPr>
              <w:t>：管理人</w:t>
            </w:r>
            <w:r>
              <w:rPr>
                <w:rFonts w:ascii="宋体" w:hAnsi="宋体" w:cs="宋体"/>
                <w:bCs/>
                <w:sz w:val="18"/>
                <w:szCs w:val="22"/>
              </w:rPr>
              <w:t>对本产品设定</w:t>
            </w:r>
            <w:r>
              <w:rPr>
                <w:rFonts w:hint="eastAsia" w:ascii="宋体" w:hAnsi="宋体" w:cs="宋体"/>
                <w:bCs/>
                <w:sz w:val="18"/>
                <w:szCs w:val="22"/>
              </w:rPr>
              <w:t>业绩报酬计提基准：【/】。</w:t>
            </w:r>
          </w:p>
          <w:p>
            <w:pPr>
              <w:spacing w:line="360" w:lineRule="auto"/>
              <w:jc w:val="left"/>
              <w:rPr>
                <w:rFonts w:ascii="宋体" w:hAnsi="宋体" w:cs="宋体"/>
                <w:bCs/>
                <w:sz w:val="18"/>
                <w:szCs w:val="18"/>
              </w:rPr>
            </w:pPr>
            <w:r>
              <w:rPr>
                <w:rFonts w:hint="eastAsia" w:ascii="宋体" w:hAnsi="宋体" w:eastAsia="宋体" w:cs="宋体"/>
                <w:bCs/>
                <w:sz w:val="18"/>
                <w:szCs w:val="18"/>
              </w:rPr>
              <w:t xml:space="preserve">■ </w:t>
            </w:r>
            <w:r>
              <w:rPr>
                <w:rFonts w:hint="eastAsia" w:ascii="宋体" w:hAnsi="宋体" w:eastAsia="宋体" w:cs="宋体"/>
                <w:bCs/>
                <w:kern w:val="0"/>
                <w:sz w:val="18"/>
                <w:szCs w:val="18"/>
              </w:rPr>
              <w:t>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70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704" w:type="dxa"/>
            <w:shd w:val="solid" w:color="FFFFFF" w:fill="FFFFFF"/>
            <w:vAlign w:val="center"/>
          </w:tcPr>
          <w:p>
            <w:pPr>
              <w:spacing w:line="360" w:lineRule="auto"/>
              <w:rPr>
                <w:rFonts w:ascii="宋体" w:hAnsi="宋体" w:eastAsia="宋体" w:cs="宋体"/>
                <w:bCs/>
                <w:color w:val="000000"/>
                <w:sz w:val="18"/>
                <w:szCs w:val="18"/>
              </w:rPr>
            </w:pPr>
            <w:r>
              <w:rPr>
                <w:rFonts w:hint="eastAsia" w:ascii="宋体" w:hAnsi="宋体" w:eastAsia="宋体" w:cs="宋体"/>
                <w:bCs/>
                <w:color w:val="000000"/>
                <w:sz w:val="18"/>
                <w:szCs w:val="18"/>
              </w:rPr>
              <w:t>（</w:t>
            </w:r>
            <w:r>
              <w:rPr>
                <w:rFonts w:hint="eastAsia" w:ascii="宋体" w:hAnsi="宋体" w:eastAsia="宋体" w:cs="宋体"/>
                <w:bCs/>
                <w:color w:val="000000"/>
                <w:sz w:val="18"/>
                <w:szCs w:val="18"/>
                <w:lang w:eastAsia="zh-CN"/>
              </w:rPr>
              <w:t>适用【B】类份额</w:t>
            </w:r>
            <w:r>
              <w:rPr>
                <w:rFonts w:hint="eastAsia" w:ascii="宋体" w:hAnsi="宋体" w:eastAsia="宋体" w:cs="宋体"/>
                <w:bCs/>
                <w:color w:val="000000"/>
                <w:sz w:val="18"/>
                <w:szCs w:val="18"/>
              </w:rPr>
              <w:t>）</w:t>
            </w:r>
          </w:p>
          <w:p>
            <w:pPr>
              <w:spacing w:line="360" w:lineRule="auto"/>
              <w:rPr>
                <w:rFonts w:ascii="黑体" w:hAnsi="黑体" w:eastAsia="黑体" w:cs="宋体"/>
                <w:color w:val="000000"/>
                <w:sz w:val="18"/>
                <w:szCs w:val="18"/>
              </w:rPr>
            </w:pPr>
            <w:r>
              <w:rPr>
                <w:rFonts w:ascii="黑体" w:hAnsi="黑体" w:eastAsia="黑体" w:cs="宋体"/>
                <w:color w:val="000000"/>
                <w:sz w:val="18"/>
                <w:szCs w:val="18"/>
              </w:rPr>
              <w:t>1.</w:t>
            </w:r>
            <w:r>
              <w:rPr>
                <w:rFonts w:hint="eastAsia" w:ascii="黑体" w:hAnsi="黑体" w:eastAsia="黑体" w:cs="宋体"/>
                <w:color w:val="000000"/>
                <w:sz w:val="18"/>
                <w:szCs w:val="18"/>
              </w:rPr>
              <w:t>理财产品的费率标准</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1）认购费：</w:t>
            </w:r>
            <w:r>
              <w:rPr>
                <w:rFonts w:hint="eastAsia" w:ascii="黑体" w:hAnsi="黑体" w:eastAsia="黑体" w:cs="黑体"/>
                <w:color w:val="000000"/>
                <w:sz w:val="18"/>
                <w:szCs w:val="18"/>
              </w:rPr>
              <w:t>【/】。</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2）申购费：</w:t>
            </w:r>
            <w:r>
              <w:rPr>
                <w:rFonts w:hint="eastAsia" w:ascii="黑体" w:hAnsi="黑体" w:eastAsia="黑体" w:cs="黑体"/>
                <w:color w:val="000000"/>
                <w:sz w:val="18"/>
                <w:szCs w:val="18"/>
              </w:rPr>
              <w:t>【/】</w:t>
            </w:r>
            <w:r>
              <w:rPr>
                <w:rFonts w:ascii="黑体" w:hAnsi="黑体" w:eastAsia="黑体" w:cs="黑体"/>
                <w:color w:val="000000"/>
                <w:sz w:val="18"/>
                <w:szCs w:val="18"/>
              </w:rPr>
              <w:t>。</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3）赎回费：</w:t>
            </w:r>
            <w:r>
              <w:rPr>
                <w:rFonts w:hint="eastAsia" w:ascii="黑体" w:hAnsi="黑体" w:eastAsia="黑体" w:cs="黑体"/>
                <w:color w:val="000000"/>
                <w:sz w:val="18"/>
                <w:szCs w:val="18"/>
              </w:rPr>
              <w:t>【/】。</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4）销售服</w:t>
            </w:r>
            <w:r>
              <w:rPr>
                <w:rFonts w:hint="eastAsia" w:ascii="黑体" w:hAnsi="黑体" w:eastAsia="黑体" w:cs="黑体"/>
                <w:color w:val="000000"/>
                <w:sz w:val="18"/>
                <w:szCs w:val="18"/>
              </w:rPr>
              <w:t>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【0.40%】</w:t>
            </w:r>
            <w:r>
              <w:rPr>
                <w:rFonts w:hint="eastAsia" w:ascii="黑体" w:hAnsi="黑体" w:eastAsia="黑体" w:cs="黑体"/>
                <w:color w:val="000000"/>
                <w:sz w:val="18"/>
                <w:szCs w:val="18"/>
              </w:rPr>
              <w:t>。</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5）投资管理费：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【0.30%</w:t>
            </w:r>
            <w:r>
              <w:rPr>
                <w:rFonts w:ascii="黑体" w:hAnsi="黑体" w:eastAsia="黑体" w:cs="黑体"/>
                <w:sz w:val="18"/>
                <w:szCs w:val="18"/>
              </w:rPr>
              <w:t>】</w:t>
            </w:r>
            <w:r>
              <w:rPr>
                <w:rFonts w:hint="eastAsia" w:ascii="黑体" w:hAnsi="黑体" w:eastAsia="黑体" w:cs="黑体"/>
                <w:color w:val="000000"/>
                <w:sz w:val="18"/>
                <w:szCs w:val="18"/>
              </w:rPr>
              <w:t>。</w:t>
            </w:r>
          </w:p>
          <w:p>
            <w:pPr>
              <w:spacing w:line="360" w:lineRule="auto"/>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6）产品托管费：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【0.03%</w:t>
            </w:r>
            <w:r>
              <w:rPr>
                <w:rFonts w:ascii="黑体" w:hAnsi="黑体" w:eastAsia="黑体" w:cs="黑体"/>
                <w:sz w:val="18"/>
                <w:szCs w:val="18"/>
              </w:rPr>
              <w:t>】</w:t>
            </w:r>
            <w:r>
              <w:rPr>
                <w:rFonts w:hint="eastAsia" w:ascii="黑体" w:hAnsi="黑体" w:eastAsia="黑体" w:cs="黑体"/>
                <w:color w:val="000000"/>
                <w:sz w:val="18"/>
                <w:szCs w:val="18"/>
              </w:rPr>
              <w:t>。</w:t>
            </w:r>
          </w:p>
          <w:p>
            <w:pPr>
              <w:widowControl/>
              <w:spacing w:line="360" w:lineRule="auto"/>
              <w:jc w:val="left"/>
              <w:rPr>
                <w:rFonts w:ascii="黑体" w:hAnsi="黑体" w:eastAsia="黑体" w:cs="黑体"/>
                <w:color w:val="000000"/>
                <w:sz w:val="18"/>
                <w:szCs w:val="18"/>
              </w:rPr>
            </w:pPr>
            <w:r>
              <w:rPr>
                <w:rFonts w:hint="eastAsia" w:ascii="黑体" w:hAnsi="黑体" w:eastAsia="黑体" w:cs="黑体"/>
                <w:color w:val="000000"/>
                <w:sz w:val="18"/>
                <w:szCs w:val="18"/>
              </w:rPr>
              <w:t>（</w:t>
            </w:r>
            <w:r>
              <w:rPr>
                <w:rFonts w:ascii="黑体" w:hAnsi="黑体" w:eastAsia="黑体" w:cs="黑体"/>
                <w:color w:val="000000"/>
                <w:sz w:val="18"/>
                <w:szCs w:val="18"/>
              </w:rPr>
              <w:t>7）超额业绩报酬：</w:t>
            </w:r>
          </w:p>
          <w:p>
            <w:pPr>
              <w:widowControl/>
              <w:spacing w:line="360" w:lineRule="auto"/>
              <w:jc w:val="left"/>
              <w:rPr>
                <w:rFonts w:ascii="宋体" w:hAnsi="宋体" w:cs="宋体"/>
                <w:sz w:val="18"/>
                <w:szCs w:val="18"/>
              </w:rPr>
            </w:pPr>
            <w:r>
              <w:rPr>
                <w:rFonts w:hint="eastAsia" w:ascii="宋体" w:hAnsi="宋体" w:cs="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ascii="黑体" w:hAnsi="黑体" w:eastAsia="黑体" w:cs="宋体"/>
                <w:bCs/>
                <w:sz w:val="18"/>
                <w:szCs w:val="18"/>
              </w:rPr>
            </w:pPr>
            <w:r>
              <w:rPr>
                <w:rFonts w:hint="eastAsia" w:ascii="宋体" w:hAnsi="宋体" w:cs="宋体"/>
                <w:bCs/>
                <w:sz w:val="18"/>
                <w:szCs w:val="18"/>
              </w:rPr>
              <w:t>2</w:t>
            </w:r>
            <w:r>
              <w:rPr>
                <w:rFonts w:hint="eastAsia" w:ascii="宋体" w:hAnsi="宋体" w:eastAsia="宋体" w:cs="宋体"/>
                <w:bCs/>
                <w:sz w:val="18"/>
                <w:szCs w:val="18"/>
              </w:rPr>
              <w:t>.</w:t>
            </w:r>
            <w:r>
              <w:rPr>
                <w:rFonts w:hint="eastAsia" w:ascii="黑体" w:hAnsi="黑体" w:eastAsia="黑体" w:cs="宋体"/>
                <w:bCs/>
                <w:sz w:val="18"/>
                <w:szCs w:val="18"/>
              </w:rPr>
              <w:t>产品管理人</w:t>
            </w:r>
            <w:r>
              <w:rPr>
                <w:rFonts w:ascii="黑体" w:hAnsi="黑体" w:eastAsia="黑体" w:cs="宋体"/>
                <w:bCs/>
                <w:sz w:val="18"/>
                <w:szCs w:val="18"/>
              </w:rPr>
              <w:t>保留变更</w:t>
            </w:r>
            <w:r>
              <w:rPr>
                <w:rFonts w:hint="eastAsia" w:ascii="黑体" w:hAnsi="黑体" w:eastAsia="黑体" w:cs="宋体"/>
                <w:bCs/>
                <w:sz w:val="18"/>
                <w:szCs w:val="18"/>
              </w:rPr>
              <w:t>上述</w:t>
            </w:r>
            <w:r>
              <w:rPr>
                <w:rFonts w:ascii="黑体" w:hAnsi="黑体" w:eastAsia="黑体" w:cs="宋体"/>
                <w:bCs/>
                <w:sz w:val="18"/>
                <w:szCs w:val="18"/>
              </w:rPr>
              <w:t>理财产品</w:t>
            </w:r>
            <w:r>
              <w:rPr>
                <w:rFonts w:hint="eastAsia" w:ascii="黑体" w:hAnsi="黑体" w:eastAsia="黑体" w:cs="宋体"/>
                <w:bCs/>
                <w:sz w:val="18"/>
                <w:szCs w:val="18"/>
              </w:rPr>
              <w:t>收取</w:t>
            </w:r>
            <w:r>
              <w:rPr>
                <w:rFonts w:ascii="黑体" w:hAnsi="黑体" w:eastAsia="黑体" w:cs="宋体"/>
                <w:bCs/>
                <w:sz w:val="18"/>
                <w:szCs w:val="18"/>
              </w:rPr>
              <w:t>费率</w:t>
            </w:r>
            <w:r>
              <w:rPr>
                <w:rFonts w:hint="eastAsia" w:ascii="黑体" w:hAnsi="黑体" w:eastAsia="黑体" w:cs="宋体"/>
                <w:bCs/>
                <w:sz w:val="18"/>
                <w:szCs w:val="18"/>
              </w:rPr>
              <w:t>标准</w:t>
            </w:r>
            <w:r>
              <w:rPr>
                <w:rFonts w:ascii="黑体" w:hAnsi="黑体" w:eastAsia="黑体" w:cs="宋体"/>
                <w:bCs/>
                <w:sz w:val="18"/>
                <w:szCs w:val="18"/>
              </w:rPr>
              <w:t>的权利</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70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70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70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0" w:name="_Toc21959"/>
      <w:bookmarkStart w:id="101" w:name="_Toc92377132"/>
      <w:bookmarkStart w:id="102" w:name="_Toc79154666"/>
      <w:bookmarkStart w:id="103" w:name="_Toc10659"/>
      <w:bookmarkStart w:id="104" w:name="_Toc440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105" w:name="_Toc79392573"/>
      <w:r>
        <w:rPr>
          <w:rFonts w:hint="eastAsia" w:ascii="Times New Roman" w:hAnsi="Calibri" w:eastAsia="宋体" w:cs="宋体"/>
          <w:b/>
          <w:bCs/>
          <w:kern w:val="44"/>
          <w:sz w:val="30"/>
          <w:szCs w:val="44"/>
          <w:lang w:val="en-US" w:eastAsia="zh-CN" w:bidi="ar-SA"/>
        </w:rPr>
        <w:t>理财产品的认购</w:t>
      </w:r>
      <w:bookmarkEnd w:id="100"/>
      <w:bookmarkEnd w:id="101"/>
      <w:bookmarkEnd w:id="102"/>
      <w:bookmarkEnd w:id="103"/>
      <w:bookmarkEnd w:id="104"/>
    </w:p>
    <w:p>
      <w:pPr>
        <w:spacing w:line="360" w:lineRule="auto"/>
        <w:ind w:firstLine="361" w:firstLineChars="200"/>
        <w:rPr>
          <w:rFonts w:ascii="宋体" w:hAnsi="宋体" w:cs="宋体"/>
          <w:b/>
          <w:bCs/>
          <w:sz w:val="18"/>
          <w:szCs w:val="18"/>
        </w:rPr>
      </w:pPr>
      <w:bookmarkStart w:id="106" w:name="_Hlt88031774"/>
      <w:bookmarkEnd w:id="106"/>
      <w:bookmarkStart w:id="107"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w:t>
            </w:r>
            <w:r>
              <w:rPr>
                <w:rFonts w:hint="eastAsia" w:ascii="宋体" w:hAnsi="宋体" w:eastAsia="宋体" w:cs="Times New Roman"/>
                <w:bCs/>
                <w:sz w:val="18"/>
                <w:szCs w:val="18"/>
              </w:rPr>
              <w:t>，并登记理财份额</w:t>
            </w:r>
            <w:r>
              <w:rPr>
                <w:rFonts w:hint="eastAsia" w:ascii="宋体" w:hAnsi="宋体" w:cs="Times New Roman"/>
                <w:bCs/>
                <w:kern w:val="0"/>
                <w:sz w:val="18"/>
                <w:szCs w:val="18"/>
              </w:rPr>
              <w:t>。</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认购期/募集期内投资者可提交认购申请。</w:t>
      </w:r>
      <w:r>
        <w:rPr>
          <w:rFonts w:hint="eastAsia" w:ascii="宋体" w:hAnsi="宋体" w:eastAsia="宋体" w:cs="宋体"/>
          <w:color w:val="000000"/>
          <w:sz w:val="18"/>
          <w:szCs w:val="18"/>
          <w:lang w:val="en-US" w:eastAsia="zh-CN" w:bidi="ar-SA"/>
        </w:rPr>
        <w:t>提交</w:t>
      </w:r>
      <w:r>
        <w:rPr>
          <w:rFonts w:ascii="宋体" w:hAnsi="宋体" w:eastAsia="宋体" w:cs="宋体"/>
          <w:color w:val="000000"/>
          <w:sz w:val="18"/>
          <w:szCs w:val="18"/>
          <w:lang w:val="en-US" w:eastAsia="zh-CN" w:bidi="ar-SA"/>
        </w:rPr>
        <w:t>认购</w:t>
      </w:r>
      <w:r>
        <w:rPr>
          <w:rFonts w:hint="eastAsia" w:ascii="宋体" w:hAnsi="宋体" w:eastAsia="宋体" w:cs="宋体"/>
          <w:color w:val="000000"/>
          <w:sz w:val="18"/>
          <w:szCs w:val="18"/>
          <w:lang w:val="en-US" w:eastAsia="zh-CN" w:bidi="ar-SA"/>
        </w:rPr>
        <w:t>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投资者认购资金在产品认购期内产生的利息不作为理财资金进入运作，不计算理财利益。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spacing w:line="360" w:lineRule="auto"/>
        <w:ind w:firstLine="360" w:firstLineChars="200"/>
        <w:rPr>
          <w:rFonts w:ascii="宋体" w:hAnsi="宋体" w:cs="宋体"/>
          <w:bCs/>
          <w:sz w:val="18"/>
          <w:szCs w:val="18"/>
        </w:rPr>
      </w:pPr>
    </w:p>
    <w:p>
      <w:pPr>
        <w:widowControl/>
        <w:spacing w:line="360" w:lineRule="auto"/>
        <w:jc w:val="left"/>
        <w:rPr>
          <w:rFonts w:ascii="宋体" w:hAnsi="宋体" w:cs="宋体"/>
          <w:bCs/>
          <w:sz w:val="18"/>
          <w:szCs w:val="18"/>
        </w:rPr>
      </w:pPr>
      <w:r>
        <w:rPr>
          <w:rFonts w:ascii="宋体" w:hAnsi="宋体" w:cs="宋体"/>
          <w:bCs/>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8" w:name="_Toc92377133"/>
      <w:bookmarkStart w:id="109" w:name="_Toc79154667"/>
      <w:bookmarkStart w:id="110" w:name="_Toc6529"/>
      <w:bookmarkStart w:id="111" w:name="_Toc29856"/>
      <w:bookmarkStart w:id="112" w:name="_Toc32177"/>
      <w:r>
        <w:rPr>
          <w:rFonts w:hint="eastAsia" w:ascii="Times New Roman" w:hAnsi="Calibri" w:eastAsia="宋体" w:cs="宋体"/>
          <w:b/>
          <w:bCs/>
          <w:kern w:val="44"/>
          <w:sz w:val="30"/>
          <w:szCs w:val="44"/>
          <w:lang w:val="en-US" w:eastAsia="zh-CN" w:bidi="ar-SA"/>
        </w:rPr>
        <w:t xml:space="preserve">第四条 </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108"/>
      <w:bookmarkEnd w:id="109"/>
      <w:bookmarkEnd w:id="110"/>
      <w:bookmarkEnd w:id="111"/>
      <w:bookmarkEnd w:id="112"/>
    </w:p>
    <w:bookmarkEnd w:id="107"/>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（一）理财产品的申购</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申购的时间</w:t>
      </w:r>
    </w:p>
    <w:p>
      <w:pPr>
        <w:ind w:firstLine="360"/>
        <w:jc w:val="both"/>
        <w:rPr>
          <w:rFonts w:ascii="宋体" w:hAnsi="宋体" w:eastAsia="宋体" w:cs="Calibri"/>
          <w:bCs/>
          <w:kern w:val="2"/>
          <w:sz w:val="18"/>
          <w:szCs w:val="18"/>
          <w:lang w:val="en-US" w:eastAsia="zh-CN" w:bidi="ar-SA"/>
        </w:rPr>
      </w:pPr>
      <w:r>
        <w:rPr>
          <w:rFonts w:hint="eastAsia" w:ascii="宋体" w:hAnsi="宋体" w:eastAsia="宋体" w:cs="Calibri"/>
          <w:kern w:val="2"/>
          <w:sz w:val="18"/>
          <w:szCs w:val="18"/>
          <w:lang w:val="en-US" w:eastAsia="zh-CN" w:bidi="ar-SA"/>
        </w:rPr>
        <w:t>本产品</w:t>
      </w:r>
      <w:r>
        <w:rPr>
          <w:rFonts w:hint="eastAsia" w:ascii="宋体" w:hAnsi="宋体" w:eastAsia="宋体" w:cs="Calibri"/>
          <w:bCs/>
          <w:kern w:val="2"/>
          <w:sz w:val="18"/>
          <w:szCs w:val="18"/>
          <w:lang w:val="en-US" w:eastAsia="zh-CN" w:bidi="ar-SA"/>
        </w:rPr>
        <w:t>具体申购时间以</w:t>
      </w:r>
      <w:r>
        <w:rPr>
          <w:rFonts w:hint="eastAsia" w:ascii="宋体" w:hAnsi="宋体" w:eastAsia="宋体" w:cs="Calibri"/>
          <w:kern w:val="2"/>
          <w:sz w:val="18"/>
          <w:szCs w:val="18"/>
          <w:lang w:val="en-US" w:eastAsia="zh-CN" w:bidi="ar-SA"/>
        </w:rPr>
        <w:t>《产品说明书》“第二条 理财产品基本情况”</w:t>
      </w:r>
      <w:r>
        <w:rPr>
          <w:rFonts w:hint="eastAsia" w:ascii="宋体" w:hAnsi="宋体" w:eastAsia="宋体" w:cs="Calibri"/>
          <w:bCs/>
          <w:kern w:val="2"/>
          <w:sz w:val="18"/>
          <w:szCs w:val="18"/>
          <w:lang w:val="en-US" w:eastAsia="zh-CN" w:bidi="ar-SA"/>
        </w:rPr>
        <w:t>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2.申购的方式</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投资者可通过</w:t>
      </w:r>
      <w:r>
        <w:rPr>
          <w:rFonts w:hint="eastAsia" w:ascii="宋体" w:hAnsi="宋体" w:eastAsia="宋体" w:cs="宋体"/>
          <w:bCs/>
          <w:color w:val="auto"/>
          <w:sz w:val="18"/>
          <w:szCs w:val="18"/>
          <w:lang w:val="en-US" w:eastAsia="zh-CN" w:bidi="ar-SA"/>
        </w:rPr>
        <w:t>销售机构的销售</w:t>
      </w:r>
      <w:r>
        <w:rPr>
          <w:rFonts w:ascii="宋体" w:hAnsi="宋体" w:eastAsia="宋体" w:cs="宋体"/>
          <w:bCs/>
          <w:color w:val="auto"/>
          <w:sz w:val="18"/>
          <w:szCs w:val="18"/>
          <w:lang w:val="en-US" w:eastAsia="zh-CN" w:bidi="ar-SA"/>
        </w:rPr>
        <w:t>渠道</w:t>
      </w:r>
      <w:r>
        <w:rPr>
          <w:rFonts w:hint="eastAsia" w:ascii="宋体" w:hAnsi="宋体" w:eastAsia="宋体" w:cs="宋体"/>
          <w:bCs/>
          <w:color w:val="auto"/>
          <w:sz w:val="18"/>
          <w:szCs w:val="18"/>
          <w:lang w:val="en-US" w:eastAsia="zh-CN" w:bidi="ar-SA"/>
        </w:rPr>
        <w:t>申购。不同销售机构</w:t>
      </w:r>
      <w:r>
        <w:rPr>
          <w:rFonts w:ascii="宋体" w:hAnsi="宋体" w:eastAsia="宋体" w:cs="宋体"/>
          <w:bCs/>
          <w:color w:val="auto"/>
          <w:sz w:val="18"/>
          <w:szCs w:val="18"/>
          <w:lang w:val="en-US" w:eastAsia="zh-CN" w:bidi="ar-SA"/>
        </w:rPr>
        <w:t>的销售</w:t>
      </w:r>
      <w:r>
        <w:rPr>
          <w:rFonts w:hint="eastAsia" w:ascii="宋体" w:hAnsi="宋体" w:eastAsia="宋体" w:cs="宋体"/>
          <w:bCs/>
          <w:color w:val="auto"/>
          <w:sz w:val="18"/>
          <w:szCs w:val="18"/>
          <w:lang w:val="en-US" w:eastAsia="zh-CN" w:bidi="ar-SA"/>
        </w:rPr>
        <w:t>渠道，申购确认时效可能存在</w:t>
      </w:r>
      <w:r>
        <w:rPr>
          <w:rFonts w:ascii="宋体" w:hAnsi="宋体" w:eastAsia="宋体" w:cs="宋体"/>
          <w:bCs/>
          <w:color w:val="auto"/>
          <w:sz w:val="18"/>
          <w:szCs w:val="18"/>
          <w:lang w:val="en-US" w:eastAsia="zh-CN" w:bidi="ar-SA"/>
        </w:rPr>
        <w:t>差异</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投资者通过</w:t>
      </w:r>
      <w:r>
        <w:rPr>
          <w:rFonts w:hint="eastAsia" w:ascii="宋体" w:hAnsi="宋体" w:eastAsia="宋体" w:cs="宋体"/>
          <w:bCs/>
          <w:color w:val="auto"/>
          <w:sz w:val="18"/>
          <w:szCs w:val="18"/>
          <w:lang w:val="en-US" w:eastAsia="zh-CN" w:bidi="ar-SA"/>
        </w:rPr>
        <w:t>销售机构线下</w:t>
      </w:r>
      <w:r>
        <w:rPr>
          <w:rFonts w:ascii="宋体" w:hAnsi="宋体" w:eastAsia="宋体" w:cs="宋体"/>
          <w:bCs/>
          <w:color w:val="auto"/>
          <w:sz w:val="18"/>
          <w:szCs w:val="18"/>
          <w:lang w:val="en-US" w:eastAsia="zh-CN" w:bidi="ar-SA"/>
        </w:rPr>
        <w:t>渠道申购</w:t>
      </w:r>
      <w:r>
        <w:rPr>
          <w:rFonts w:hint="eastAsia" w:ascii="宋体" w:hAnsi="宋体" w:eastAsia="宋体" w:cs="宋体"/>
          <w:bCs/>
          <w:color w:val="auto"/>
          <w:sz w:val="18"/>
          <w:szCs w:val="18"/>
          <w:lang w:val="en-US" w:eastAsia="zh-CN" w:bidi="ar-SA"/>
        </w:rPr>
        <w:t>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投资者通过销售机构线上渠道申购的，应根据销售机构线上渠道的具体要求执行。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申购的确认</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color w:val="auto"/>
          <w:sz w:val="18"/>
          <w:szCs w:val="18"/>
          <w:lang w:val="en-US" w:eastAsia="zh-CN" w:bidi="ar-SA"/>
        </w:rPr>
        <w:t>提交申购申请并不代表申购成功，产品管理人将在申购确认日确认投资者是否申购成功，是否成功以管理人的确认结果为准。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.申购</w:t>
      </w:r>
      <w:r>
        <w:rPr>
          <w:rFonts w:ascii="宋体" w:hAnsi="宋体" w:cs="宋体"/>
          <w:b/>
          <w:bCs/>
          <w:sz w:val="18"/>
          <w:szCs w:val="18"/>
        </w:rPr>
        <w:t>的价格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申购价格为申购日的产品份额净值。</w:t>
      </w:r>
    </w:p>
    <w:p>
      <w:pPr>
        <w:spacing w:line="360" w:lineRule="auto"/>
        <w:ind w:firstLine="361" w:firstLineChars="200"/>
        <w:rPr>
          <w:rFonts w:ascii="宋体" w:hAnsi="宋体" w:cs="宋体"/>
          <w:b/>
          <w:bCs/>
          <w:sz w:val="18"/>
          <w:szCs w:val="18"/>
        </w:rPr>
      </w:pPr>
      <w:r>
        <w:rPr>
          <w:rFonts w:ascii="宋体" w:hAnsi="宋体" w:cs="宋体"/>
          <w:b/>
          <w:bCs/>
          <w:sz w:val="18"/>
          <w:szCs w:val="18"/>
        </w:rPr>
        <w:t>5.</w:t>
      </w:r>
      <w:r>
        <w:rPr>
          <w:rFonts w:hint="eastAsia" w:ascii="宋体" w:hAnsi="宋体" w:cs="宋体"/>
          <w:b/>
          <w:bCs/>
          <w:sz w:val="18"/>
          <w:szCs w:val="18"/>
        </w:rPr>
        <w:t>申购的</w:t>
      </w:r>
      <w:r>
        <w:rPr>
          <w:rFonts w:ascii="宋体" w:hAnsi="宋体" w:cs="宋体"/>
          <w:b/>
          <w:bCs/>
          <w:sz w:val="18"/>
          <w:szCs w:val="18"/>
        </w:rPr>
        <w:t>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w:t>
      </w:r>
      <w:r>
        <w:rPr>
          <w:rFonts w:ascii="宋体" w:hAnsi="宋体" w:eastAsia="宋体" w:cs="宋体"/>
          <w:sz w:val="18"/>
          <w:szCs w:val="18"/>
        </w:rPr>
        <w:t xml:space="preserve"> </w:t>
      </w:r>
      <w:r>
        <w:rPr>
          <w:rFonts w:hint="eastAsia" w:ascii="宋体" w:hAnsi="宋体" w:eastAsia="宋体" w:cs="宋体"/>
          <w:sz w:val="18"/>
          <w:szCs w:val="18"/>
        </w:rPr>
        <w:t>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bCs/>
          <w:color w:val="auto"/>
          <w:sz w:val="18"/>
          <w:szCs w:val="18"/>
          <w:lang w:val="en-US" w:eastAsia="zh-CN" w:bidi="ar-SA"/>
        </w:rPr>
        <w:t>6.</w:t>
      </w:r>
      <w:r>
        <w:rPr>
          <w:rFonts w:hint="eastAsia" w:ascii="宋体" w:hAnsi="宋体" w:eastAsia="宋体" w:cs="宋体"/>
          <w:b/>
          <w:bCs/>
          <w:color w:val="000000"/>
          <w:sz w:val="18"/>
          <w:szCs w:val="18"/>
          <w:lang w:val="en-US" w:eastAsia="zh-CN" w:bidi="ar-SA"/>
        </w:rPr>
        <w:t>申购份额计算</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本产品的申购金额包括申购费用和净申购金额。申购份额的计算公式为：</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净申购金额</w:t>
      </w:r>
      <w:r>
        <w:rPr>
          <w:rFonts w:ascii="宋体" w:hAnsi="宋体" w:eastAsia="宋体" w:cs="宋体"/>
          <w:bCs/>
          <w:color w:val="auto"/>
          <w:sz w:val="18"/>
          <w:szCs w:val="18"/>
          <w:lang w:val="en-US" w:eastAsia="zh-CN" w:bidi="ar-SA"/>
        </w:rPr>
        <w:t>=申购金额/（1+申购费率）</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申购费用</w:t>
      </w:r>
      <w:r>
        <w:rPr>
          <w:rFonts w:ascii="宋体" w:hAnsi="宋体" w:eastAsia="宋体" w:cs="宋体"/>
          <w:bCs/>
          <w:color w:val="auto"/>
          <w:sz w:val="18"/>
          <w:szCs w:val="18"/>
          <w:lang w:val="en-US" w:eastAsia="zh-CN" w:bidi="ar-SA"/>
        </w:rPr>
        <w:t>=申购金额－净申购金额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申购份额</w:t>
      </w:r>
      <w:r>
        <w:rPr>
          <w:rFonts w:ascii="宋体" w:hAnsi="宋体" w:eastAsia="宋体" w:cs="宋体"/>
          <w:bCs/>
          <w:color w:val="auto"/>
          <w:sz w:val="18"/>
          <w:szCs w:val="18"/>
          <w:lang w:val="en-US" w:eastAsia="zh-CN" w:bidi="ar-SA"/>
        </w:rPr>
        <w:t>=净申购金额/申购日产品份额净值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申购的起点和递增金额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w:t>
      </w:r>
      <w:r>
        <w:rPr>
          <w:rFonts w:hint="eastAsia" w:ascii="宋体" w:hAnsi="宋体" w:eastAsia="宋体" w:cs="宋体"/>
          <w:b/>
          <w:color w:val="auto"/>
          <w:sz w:val="18"/>
          <w:szCs w:val="18"/>
          <w:lang w:val="en-US" w:eastAsia="zh-CN" w:bidi="ar-SA"/>
        </w:rPr>
        <w:t>申购</w:t>
      </w:r>
      <w:r>
        <w:rPr>
          <w:rFonts w:ascii="宋体" w:hAnsi="宋体" w:eastAsia="宋体" w:cs="宋体"/>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（二）理财产品的赎回</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赎回的时间</w:t>
      </w:r>
    </w:p>
    <w:p>
      <w:pPr>
        <w:ind w:firstLine="360"/>
        <w:jc w:val="both"/>
        <w:rPr>
          <w:rFonts w:ascii="宋体" w:hAnsi="宋体" w:eastAsia="宋体" w:cs="Calibri"/>
          <w:bCs/>
          <w:kern w:val="2"/>
          <w:sz w:val="18"/>
          <w:szCs w:val="18"/>
          <w:lang w:val="en-US" w:eastAsia="zh-CN" w:bidi="ar-SA"/>
        </w:rPr>
      </w:pPr>
      <w:r>
        <w:rPr>
          <w:rFonts w:hint="eastAsia" w:ascii="宋体" w:hAnsi="宋体" w:eastAsia="宋体" w:cs="Calibri"/>
          <w:kern w:val="2"/>
          <w:sz w:val="18"/>
          <w:szCs w:val="18"/>
          <w:lang w:val="en-US" w:eastAsia="zh-CN" w:bidi="ar-SA"/>
        </w:rPr>
        <w:t>本产品</w:t>
      </w:r>
      <w:r>
        <w:rPr>
          <w:rFonts w:hint="eastAsia" w:ascii="宋体" w:hAnsi="宋体" w:eastAsia="宋体" w:cs="Calibri"/>
          <w:bCs/>
          <w:kern w:val="2"/>
          <w:sz w:val="18"/>
          <w:szCs w:val="18"/>
          <w:lang w:val="en-US" w:eastAsia="zh-CN" w:bidi="ar-SA"/>
        </w:rPr>
        <w:t>具体赎回时间以</w:t>
      </w:r>
      <w:r>
        <w:rPr>
          <w:rFonts w:hint="eastAsia" w:ascii="宋体" w:hAnsi="宋体" w:eastAsia="宋体" w:cs="Calibri"/>
          <w:kern w:val="2"/>
          <w:sz w:val="18"/>
          <w:szCs w:val="18"/>
          <w:lang w:val="en-US" w:eastAsia="zh-CN" w:bidi="ar-SA"/>
        </w:rPr>
        <w:t>《产品说明书》“第二条</w:t>
      </w:r>
      <w:r>
        <w:rPr>
          <w:rFonts w:ascii="宋体" w:hAnsi="宋体" w:eastAsia="宋体" w:cs="Calibri"/>
          <w:kern w:val="2"/>
          <w:sz w:val="18"/>
          <w:szCs w:val="18"/>
          <w:lang w:val="en-US" w:eastAsia="zh-CN" w:bidi="ar-SA"/>
        </w:rPr>
        <w:t xml:space="preserve"> </w:t>
      </w:r>
      <w:r>
        <w:rPr>
          <w:rFonts w:hint="eastAsia" w:ascii="宋体" w:hAnsi="宋体" w:eastAsia="宋体" w:cs="Calibri"/>
          <w:kern w:val="2"/>
          <w:sz w:val="18"/>
          <w:szCs w:val="18"/>
          <w:lang w:val="en-US" w:eastAsia="zh-CN" w:bidi="ar-SA"/>
        </w:rPr>
        <w:t>理财产品基本情况”</w:t>
      </w:r>
      <w:r>
        <w:rPr>
          <w:rFonts w:hint="eastAsia" w:ascii="宋体" w:hAnsi="宋体" w:eastAsia="宋体" w:cs="Calibri"/>
          <w:bCs/>
          <w:kern w:val="2"/>
          <w:sz w:val="18"/>
          <w:szCs w:val="18"/>
          <w:lang w:val="en-US" w:eastAsia="zh-CN" w:bidi="ar-SA"/>
        </w:rPr>
        <w:t>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2.赎回的方式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赎回</w:t>
      </w:r>
      <w:r>
        <w:rPr>
          <w:rFonts w:ascii="宋体" w:hAnsi="宋体" w:eastAsia="宋体" w:cs="宋体"/>
          <w:color w:val="auto"/>
          <w:sz w:val="18"/>
          <w:szCs w:val="18"/>
          <w:lang w:val="en-US" w:eastAsia="zh-CN" w:bidi="ar-SA"/>
        </w:rPr>
        <w:t>。</w:t>
      </w:r>
      <w:r>
        <w:rPr>
          <w:rFonts w:hint="eastAsia" w:ascii="宋体" w:hAnsi="宋体" w:eastAsia="宋体" w:cs="宋体"/>
          <w:bCs/>
          <w:color w:val="auto"/>
          <w:sz w:val="18"/>
          <w:szCs w:val="18"/>
          <w:lang w:val="en-US" w:eastAsia="zh-CN" w:bidi="ar-SA"/>
        </w:rPr>
        <w:t>不同销售机构</w:t>
      </w:r>
      <w:r>
        <w:rPr>
          <w:rFonts w:ascii="宋体" w:hAnsi="宋体" w:eastAsia="宋体" w:cs="宋体"/>
          <w:bCs/>
          <w:color w:val="auto"/>
          <w:sz w:val="18"/>
          <w:szCs w:val="18"/>
          <w:lang w:val="en-US" w:eastAsia="zh-CN" w:bidi="ar-SA"/>
        </w:rPr>
        <w:t>的销售</w:t>
      </w:r>
      <w:r>
        <w:rPr>
          <w:rFonts w:hint="eastAsia" w:ascii="宋体" w:hAnsi="宋体" w:eastAsia="宋体" w:cs="宋体"/>
          <w:bCs/>
          <w:color w:val="auto"/>
          <w:sz w:val="18"/>
          <w:szCs w:val="18"/>
          <w:lang w:val="en-US" w:eastAsia="zh-CN" w:bidi="ar-SA"/>
        </w:rPr>
        <w:t>渠道，赎回确认时效可能存在</w:t>
      </w:r>
      <w:r>
        <w:rPr>
          <w:rFonts w:ascii="宋体" w:hAnsi="宋体" w:eastAsia="宋体" w:cs="宋体"/>
          <w:bCs/>
          <w:color w:val="auto"/>
          <w:sz w:val="18"/>
          <w:szCs w:val="18"/>
          <w:lang w:val="en-US" w:eastAsia="zh-CN" w:bidi="ar-SA"/>
        </w:rPr>
        <w:t>差异</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w:t>
      </w:r>
      <w:r>
        <w:rPr>
          <w:rFonts w:ascii="宋体" w:hAnsi="宋体" w:eastAsia="宋体" w:cs="宋体"/>
          <w:color w:val="auto"/>
          <w:sz w:val="18"/>
          <w:szCs w:val="18"/>
          <w:lang w:val="en-US" w:eastAsia="zh-CN" w:bidi="ar-SA"/>
        </w:rPr>
        <w:t>渠道赎回的</w:t>
      </w:r>
      <w:r>
        <w:rPr>
          <w:rFonts w:hint="eastAsia" w:ascii="宋体" w:hAnsi="宋体" w:eastAsia="宋体" w:cs="宋体"/>
          <w:color w:val="auto"/>
          <w:sz w:val="18"/>
          <w:szCs w:val="18"/>
          <w:lang w:val="en-US" w:eastAsia="zh-CN" w:bidi="ar-SA"/>
        </w:rPr>
        <w:t>，应签署</w:t>
      </w:r>
      <w:r>
        <w:rPr>
          <w:rFonts w:hint="eastAsia" w:ascii="宋体" w:hAnsi="宋体" w:eastAsia="宋体" w:cs="宋体"/>
          <w:bCs/>
          <w:color w:val="auto"/>
          <w:sz w:val="18"/>
          <w:szCs w:val="18"/>
          <w:lang w:val="en-US" w:eastAsia="zh-CN" w:bidi="ar-SA"/>
        </w:rPr>
        <w:t>有关理财产品销售文件</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auto"/>
          <w:sz w:val="18"/>
          <w:szCs w:val="18"/>
          <w:lang w:val="en-US" w:eastAsia="zh-CN" w:bidi="ar-SA"/>
        </w:rPr>
        <w:t>投资者通过销售机构线上渠道赎回的，</w:t>
      </w:r>
      <w:r>
        <w:rPr>
          <w:rFonts w:hint="eastAsia" w:ascii="宋体" w:hAnsi="宋体" w:eastAsia="宋体" w:cs="宋体"/>
          <w:bCs/>
          <w:color w:val="auto"/>
          <w:sz w:val="18"/>
          <w:szCs w:val="18"/>
          <w:lang w:val="en-US" w:eastAsia="zh-CN" w:bidi="ar-SA"/>
        </w:rPr>
        <w:t>应根据销售机构线上渠道的具体要求执行。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赎回的确认</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auto"/>
          <w:sz w:val="18"/>
          <w:szCs w:val="18"/>
          <w:lang w:val="en-US" w:eastAsia="zh-CN" w:bidi="ar-SA"/>
        </w:rPr>
        <w:t>提交赎回申请并不代表赎回成功，产品管理人将在赎回确认日确认投资者是否赎回成功。赎回是否成功以管理人的确认结果为准。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.赎回</w:t>
      </w:r>
      <w:r>
        <w:rPr>
          <w:rFonts w:ascii="宋体" w:hAnsi="宋体" w:cs="宋体"/>
          <w:b/>
          <w:bCs/>
          <w:sz w:val="18"/>
          <w:szCs w:val="18"/>
        </w:rPr>
        <w:t>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赎回</w:t>
      </w:r>
      <w:r>
        <w:rPr>
          <w:rFonts w:ascii="宋体" w:hAnsi="宋体" w:eastAsia="宋体" w:cs="宋体"/>
          <w:bCs/>
          <w:color w:val="auto"/>
          <w:sz w:val="18"/>
          <w:szCs w:val="18"/>
          <w:lang w:val="en-US" w:eastAsia="zh-CN" w:bidi="ar-SA"/>
        </w:rPr>
        <w:t>价格为赎回日</w:t>
      </w:r>
      <w:r>
        <w:rPr>
          <w:rFonts w:hint="eastAsia" w:ascii="宋体" w:hAnsi="宋体" w:eastAsia="宋体" w:cs="宋体"/>
          <w:bCs/>
          <w:color w:val="auto"/>
          <w:sz w:val="18"/>
          <w:szCs w:val="18"/>
          <w:lang w:val="en-US" w:eastAsia="zh-CN" w:bidi="ar-SA"/>
        </w:rPr>
        <w:t>的</w:t>
      </w:r>
      <w:r>
        <w:rPr>
          <w:rFonts w:ascii="宋体" w:hAnsi="宋体" w:eastAsia="宋体" w:cs="宋体"/>
          <w:bCs/>
          <w:color w:val="auto"/>
          <w:sz w:val="18"/>
          <w:szCs w:val="18"/>
          <w:lang w:val="en-US" w:eastAsia="zh-CN" w:bidi="ar-SA"/>
        </w:rPr>
        <w:t>产品份额净值</w:t>
      </w:r>
      <w:r>
        <w:rPr>
          <w:rFonts w:hint="eastAsia" w:ascii="宋体" w:hAnsi="宋体" w:eastAsia="宋体" w:cs="宋体"/>
          <w:bCs/>
          <w:color w:val="auto"/>
          <w:sz w:val="18"/>
          <w:szCs w:val="18"/>
          <w:lang w:val="en-US" w:eastAsia="zh-CN" w:bidi="ar-SA"/>
        </w:rPr>
        <w:t>。</w:t>
      </w:r>
    </w:p>
    <w:p>
      <w:pPr>
        <w:spacing w:line="360" w:lineRule="auto"/>
        <w:ind w:firstLine="361" w:firstLineChars="200"/>
        <w:rPr>
          <w:rFonts w:ascii="宋体" w:hAnsi="宋体" w:cs="宋体"/>
          <w:b/>
          <w:bCs/>
          <w:sz w:val="18"/>
          <w:szCs w:val="18"/>
        </w:rPr>
      </w:pPr>
      <w:r>
        <w:rPr>
          <w:rFonts w:ascii="宋体" w:hAnsi="宋体" w:cs="宋体"/>
          <w:b/>
          <w:bCs/>
          <w:sz w:val="18"/>
          <w:szCs w:val="18"/>
        </w:rPr>
        <w:t>5.</w:t>
      </w:r>
      <w:r>
        <w:rPr>
          <w:rFonts w:hint="eastAsia" w:ascii="宋体" w:hAnsi="宋体" w:cs="宋体"/>
          <w:b/>
          <w:bCs/>
          <w:sz w:val="18"/>
          <w:szCs w:val="18"/>
        </w:rPr>
        <w:t>赎回的</w:t>
      </w:r>
      <w:r>
        <w:rPr>
          <w:rFonts w:ascii="宋体" w:hAnsi="宋体" w:cs="宋体"/>
          <w:b/>
          <w:bCs/>
          <w:sz w:val="18"/>
          <w:szCs w:val="18"/>
        </w:rPr>
        <w:t>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w:t>
      </w:r>
      <w:r>
        <w:rPr>
          <w:rFonts w:ascii="宋体" w:hAnsi="宋体" w:eastAsia="宋体" w:cs="宋体"/>
          <w:sz w:val="18"/>
          <w:szCs w:val="18"/>
        </w:rPr>
        <w:t xml:space="preserve"> </w:t>
      </w:r>
      <w:r>
        <w:rPr>
          <w:rFonts w:hint="eastAsia" w:ascii="宋体" w:hAnsi="宋体" w:eastAsia="宋体" w:cs="宋体"/>
          <w:sz w:val="18"/>
          <w:szCs w:val="18"/>
        </w:rPr>
        <w:t>理财产品基本情况”</w:t>
      </w:r>
      <w:r>
        <w:rPr>
          <w:rFonts w:hint="eastAsia" w:ascii="Calibri" w:hAnsi="Calibri" w:cs="宋体"/>
          <w:bCs/>
          <w:sz w:val="18"/>
          <w:szCs w:val="18"/>
        </w:rPr>
        <w:t>。</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bCs/>
          <w:color w:val="auto"/>
          <w:sz w:val="18"/>
          <w:szCs w:val="18"/>
          <w:lang w:val="en-US" w:eastAsia="zh-CN" w:bidi="ar-SA"/>
        </w:rPr>
        <w:t>6.</w:t>
      </w:r>
      <w:r>
        <w:rPr>
          <w:rFonts w:hint="eastAsia" w:ascii="宋体" w:hAnsi="宋体" w:eastAsia="宋体" w:cs="宋体"/>
          <w:b/>
          <w:bCs/>
          <w:color w:val="auto"/>
          <w:sz w:val="18"/>
          <w:szCs w:val="18"/>
          <w:lang w:val="en-US" w:eastAsia="zh-CN" w:bidi="ar-SA"/>
        </w:rPr>
        <w:t>赎回</w:t>
      </w:r>
      <w:r>
        <w:rPr>
          <w:rFonts w:hint="eastAsia" w:ascii="宋体" w:hAnsi="宋体" w:eastAsia="宋体" w:cs="宋体"/>
          <w:b/>
          <w:bCs/>
          <w:color w:val="000000"/>
          <w:sz w:val="18"/>
          <w:szCs w:val="18"/>
          <w:lang w:val="en-US" w:eastAsia="zh-CN" w:bidi="ar-SA"/>
        </w:rPr>
        <w:t>金额计算</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本产品赎回</w:t>
      </w:r>
      <w:r>
        <w:rPr>
          <w:rFonts w:ascii="宋体" w:hAnsi="宋体" w:eastAsia="宋体" w:cs="宋体"/>
          <w:bCs/>
          <w:color w:val="auto"/>
          <w:sz w:val="18"/>
          <w:szCs w:val="18"/>
          <w:lang w:val="en-US" w:eastAsia="zh-CN" w:bidi="ar-SA"/>
        </w:rPr>
        <w:t>金额</w:t>
      </w:r>
      <w:r>
        <w:rPr>
          <w:rFonts w:hint="eastAsia" w:ascii="宋体" w:hAnsi="宋体" w:eastAsia="宋体" w:cs="宋体"/>
          <w:bCs/>
          <w:color w:val="auto"/>
          <w:sz w:val="18"/>
          <w:szCs w:val="18"/>
          <w:lang w:val="en-US" w:eastAsia="zh-CN" w:bidi="ar-SA"/>
        </w:rPr>
        <w:t>的计算公式如下：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赎回总金额</w:t>
      </w:r>
      <w:r>
        <w:rPr>
          <w:rFonts w:ascii="宋体" w:hAnsi="宋体" w:eastAsia="宋体" w:cs="宋体"/>
          <w:color w:val="auto"/>
          <w:sz w:val="18"/>
          <w:szCs w:val="18"/>
          <w:lang w:val="en-US" w:eastAsia="zh-CN" w:bidi="ar-SA"/>
        </w:rPr>
        <w:t>=赎回份额×赎回日该产品份额净值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赎回费用</w:t>
      </w:r>
      <w:r>
        <w:rPr>
          <w:rFonts w:ascii="宋体" w:hAnsi="宋体" w:eastAsia="宋体" w:cs="宋体"/>
          <w:color w:val="auto"/>
          <w:sz w:val="18"/>
          <w:szCs w:val="18"/>
          <w:lang w:val="en-US" w:eastAsia="zh-CN" w:bidi="ar-SA"/>
        </w:rPr>
        <w:t>=赎回总金额×赎回费率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净赎回金额</w:t>
      </w:r>
      <w:r>
        <w:rPr>
          <w:rFonts w:ascii="宋体" w:hAnsi="宋体" w:eastAsia="宋体" w:cs="宋体"/>
          <w:color w:val="auto"/>
          <w:sz w:val="18"/>
          <w:szCs w:val="18"/>
          <w:lang w:val="en-US" w:eastAsia="zh-CN" w:bidi="ar-SA"/>
        </w:rPr>
        <w:t>=赎回总金额-赎回费用</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上述计算结果均按四舍五入方法，保留到小数点后</w:t>
      </w: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bCs/>
          <w:color w:val="auto"/>
          <w:sz w:val="18"/>
          <w:szCs w:val="18"/>
          <w:lang w:val="en-US" w:eastAsia="zh-CN" w:bidi="ar-SA"/>
        </w:rPr>
        <w:t>赎回</w:t>
      </w:r>
      <w:r>
        <w:rPr>
          <w:rFonts w:ascii="宋体" w:hAnsi="宋体" w:eastAsia="宋体" w:cs="宋体"/>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（三）申购与赎回的原则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金额申购、份额赎回</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原则，即申购以金额申请，赎回以份额申请。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ascii="宋体" w:hAnsi="宋体" w:eastAsia="宋体" w:cs="宋体"/>
          <w:bCs/>
          <w:color w:val="auto"/>
          <w:sz w:val="18"/>
          <w:szCs w:val="18"/>
          <w:lang w:val="en-US" w:eastAsia="zh-CN" w:bidi="ar-SA"/>
        </w:rPr>
        <w:t>申购和赎回采用“</w:t>
      </w:r>
      <w:r>
        <w:rPr>
          <w:rFonts w:hint="eastAsia" w:ascii="宋体" w:hAnsi="宋体" w:eastAsia="宋体" w:cs="宋体"/>
          <w:bCs/>
          <w:color w:val="auto"/>
          <w:sz w:val="18"/>
          <w:szCs w:val="18"/>
          <w:lang w:val="en-US" w:eastAsia="zh-CN" w:bidi="ar-SA"/>
        </w:rPr>
        <w:t>未知价</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原则，即本产品申购申请和赎回申请提交时，适用的产品份额净值都是未知的。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3.申购、</w:t>
      </w:r>
      <w:r>
        <w:rPr>
          <w:rFonts w:hint="eastAsia" w:ascii="宋体" w:hAnsi="宋体" w:eastAsia="宋体" w:cs="宋体"/>
          <w:color w:val="auto"/>
          <w:sz w:val="18"/>
          <w:szCs w:val="18"/>
          <w:lang w:val="en-US" w:eastAsia="zh-CN" w:bidi="ar-SA"/>
        </w:rPr>
        <w:t>赎回</w:t>
      </w:r>
      <w:r>
        <w:rPr>
          <w:rFonts w:ascii="宋体" w:hAnsi="宋体" w:eastAsia="宋体" w:cs="宋体"/>
          <w:color w:val="auto"/>
          <w:sz w:val="18"/>
          <w:szCs w:val="18"/>
          <w:lang w:val="en-US" w:eastAsia="zh-CN" w:bidi="ar-SA"/>
        </w:rPr>
        <w:t>申请可以在对应申购</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赎回</w:t>
      </w:r>
      <w:r>
        <w:rPr>
          <w:rFonts w:hint="eastAsia" w:ascii="宋体" w:hAnsi="宋体" w:eastAsia="宋体" w:cs="宋体"/>
          <w:color w:val="auto"/>
          <w:sz w:val="18"/>
          <w:szCs w:val="18"/>
          <w:lang w:val="en-US" w:eastAsia="zh-CN" w:bidi="ar-SA"/>
        </w:rPr>
        <w:t>日交易时间截止</w:t>
      </w:r>
      <w:r>
        <w:rPr>
          <w:rFonts w:ascii="宋体" w:hAnsi="宋体" w:eastAsia="宋体" w:cs="宋体"/>
          <w:color w:val="auto"/>
          <w:sz w:val="18"/>
          <w:szCs w:val="18"/>
          <w:lang w:val="en-US" w:eastAsia="zh-CN" w:bidi="ar-SA"/>
        </w:rPr>
        <w:t>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赎回遵循“先进先出”原则，即按照投资者认购、申购的先后次序进行顺序赎回。</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（四）拒绝或暂停申购的情形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w:t>
      </w:r>
      <w:r>
        <w:rPr>
          <w:rFonts w:ascii="宋体" w:hAnsi="宋体" w:eastAsia="宋体" w:cs="宋体"/>
          <w:color w:val="auto"/>
          <w:sz w:val="18"/>
          <w:szCs w:val="18"/>
          <w:lang w:val="en-US" w:eastAsia="zh-CN" w:bidi="ar-SA"/>
        </w:rPr>
        <w:t>申购申请：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.发生暂停理财资产估值情况时，产品管理人可暂停接受投资者的申购申请。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.本产品出现当日净收益小于零的情形，为保护持有人的权益，产品管理人可暂停本产品的申购。</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.产品管理人认为接受某笔或某些申购申请可能会影响或损害现有理财份额持有人权益时。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6</w:t>
      </w:r>
      <w:r>
        <w:rPr>
          <w:rFonts w:hint="eastAsia" w:ascii="宋体" w:hAnsi="宋体" w:eastAsia="宋体" w:cs="宋体"/>
          <w:color w:val="auto"/>
          <w:sz w:val="18"/>
          <w:szCs w:val="18"/>
          <w:lang w:val="en-US" w:eastAsia="zh-CN" w:bidi="ar-SA"/>
        </w:rPr>
        <w:t>.理财产品规模过大，产品管理人无法找到合适的投资品种，或其他可能对理财业绩产生负面影响，从而损害现有理财份额持有人权益的情形。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7</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8</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如果投资者的申购申请被拒绝，被拒绝的申购款项将退还给投资者。在暂停申购的情况消除时，产品管理人应及时恢复申购业务的办理。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（五）暂停赎回或延缓支付赎回款项的情形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发生下列情形时，产品管理人可暂停接受投资者的赎回申请或延缓支付赎回款项：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.因不可抗力导致产品管理人不能支付赎回款项。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.发生暂停理财资产估值情况时，产品管理人可暂停接受投资者的赎回申请或延缓支付赎回款项。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证券交易所或银行间市场出现异常市场情况，管理人无法</w:t>
      </w:r>
      <w:r>
        <w:rPr>
          <w:rFonts w:hint="eastAsia" w:ascii="宋体" w:hAnsi="宋体" w:eastAsia="宋体" w:cs="宋体"/>
          <w:color w:val="auto"/>
          <w:sz w:val="18"/>
          <w:szCs w:val="18"/>
          <w:lang w:val="en-US" w:eastAsia="zh-CN" w:bidi="ar-SA"/>
        </w:rPr>
        <w:t>开展产品的</w:t>
      </w:r>
      <w:r>
        <w:rPr>
          <w:rFonts w:ascii="宋体" w:hAnsi="宋体" w:eastAsia="宋体" w:cs="宋体"/>
          <w:color w:val="auto"/>
          <w:sz w:val="18"/>
          <w:szCs w:val="18"/>
          <w:lang w:val="en-US" w:eastAsia="zh-CN" w:bidi="ar-SA"/>
        </w:rPr>
        <w:t>流动性</w:t>
      </w:r>
      <w:r>
        <w:rPr>
          <w:rFonts w:hint="eastAsia" w:ascii="宋体" w:hAnsi="宋体" w:eastAsia="宋体" w:cs="宋体"/>
          <w:color w:val="auto"/>
          <w:sz w:val="18"/>
          <w:szCs w:val="18"/>
          <w:lang w:val="en-US" w:eastAsia="zh-CN" w:bidi="ar-SA"/>
        </w:rPr>
        <w:t>管理</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.本产品出现当日净收益小于零的情形，为保护持有人的权益，产品管理人可暂停本产品的赎回。</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6</w:t>
      </w:r>
      <w:r>
        <w:rPr>
          <w:rFonts w:hint="eastAsia" w:ascii="宋体" w:hAnsi="宋体" w:eastAsia="宋体" w:cs="宋体"/>
          <w:color w:val="auto"/>
          <w:sz w:val="18"/>
          <w:szCs w:val="18"/>
          <w:lang w:val="en-US" w:eastAsia="zh-CN" w:bidi="ar-SA"/>
        </w:rPr>
        <w:t>.发生单个投资者在赎回日申请赎回的理财产品份额超过限额的。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7.发生巨额赎回。</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8.产品管理人和产品托管人的技术保障等异常情况导致理财销售系统或会计系统无法正常运行。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9.证券交易所或银行间市场数据传输延迟、通讯系统故障、银行系统故障或其他非产品管理人及产品托管人所能控制的因素影响了产品运作流程。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10.法律法规规定或监管机构认定的其他情形。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bCs/>
          <w:color w:val="000000"/>
          <w:sz w:val="18"/>
          <w:szCs w:val="18"/>
          <w:lang w:val="en-US" w:eastAsia="zh-CN" w:bidi="ar-SA"/>
        </w:rPr>
        <w:t>延缓支付赎回款项</w:t>
      </w:r>
      <w:r>
        <w:rPr>
          <w:rFonts w:hint="eastAsia" w:ascii="宋体" w:hAnsi="宋体" w:eastAsia="宋体" w:cs="宋体"/>
          <w:bCs/>
          <w:color w:val="000000"/>
          <w:sz w:val="18"/>
          <w:szCs w:val="18"/>
          <w:lang w:val="en-US" w:eastAsia="zh-CN" w:bidi="ar-SA"/>
        </w:rPr>
        <w:t>的</w:t>
      </w:r>
      <w:r>
        <w:rPr>
          <w:rFonts w:ascii="宋体" w:hAnsi="宋体" w:eastAsia="宋体" w:cs="宋体"/>
          <w:bCs/>
          <w:color w:val="000000"/>
          <w:sz w:val="18"/>
          <w:szCs w:val="18"/>
          <w:lang w:val="en-US" w:eastAsia="zh-CN" w:bidi="ar-SA"/>
        </w:rPr>
        <w:t>，</w:t>
      </w:r>
      <w:r>
        <w:rPr>
          <w:rFonts w:hint="eastAsia" w:ascii="宋体" w:hAnsi="宋体" w:eastAsia="宋体" w:cs="宋体"/>
          <w:bCs/>
          <w:color w:val="000000"/>
          <w:sz w:val="18"/>
          <w:szCs w:val="18"/>
          <w:lang w:val="en-US" w:eastAsia="zh-CN" w:bidi="ar-SA"/>
        </w:rPr>
        <w:t>已经确认</w:t>
      </w:r>
      <w:r>
        <w:rPr>
          <w:rFonts w:ascii="宋体" w:hAnsi="宋体" w:eastAsia="宋体" w:cs="宋体"/>
          <w:bCs/>
          <w:color w:val="000000"/>
          <w:sz w:val="18"/>
          <w:szCs w:val="18"/>
          <w:lang w:val="en-US" w:eastAsia="zh-CN" w:bidi="ar-SA"/>
        </w:rPr>
        <w:t>的赎回申请的</w:t>
      </w:r>
      <w:r>
        <w:rPr>
          <w:rFonts w:hint="eastAsia" w:ascii="宋体" w:hAnsi="宋体" w:eastAsia="宋体" w:cs="宋体"/>
          <w:bCs/>
          <w:color w:val="000000"/>
          <w:sz w:val="18"/>
          <w:szCs w:val="18"/>
          <w:lang w:val="en-US" w:eastAsia="zh-CN" w:bidi="ar-SA"/>
        </w:rPr>
        <w:t>相应赎回</w:t>
      </w:r>
      <w:r>
        <w:rPr>
          <w:rFonts w:ascii="宋体" w:hAnsi="宋体" w:eastAsia="宋体" w:cs="宋体"/>
          <w:bCs/>
          <w:color w:val="000000"/>
          <w:sz w:val="18"/>
          <w:szCs w:val="18"/>
          <w:lang w:val="en-US" w:eastAsia="zh-CN" w:bidi="ar-SA"/>
        </w:rPr>
        <w:t>款项将会在不超过20个工作日内支付</w:t>
      </w:r>
      <w:r>
        <w:rPr>
          <w:rFonts w:hint="eastAsia" w:ascii="宋体" w:hAnsi="宋体" w:eastAsia="宋体" w:cs="宋体"/>
          <w:bCs/>
          <w:color w:val="000000"/>
          <w:sz w:val="18"/>
          <w:szCs w:val="18"/>
          <w:lang w:val="en-US" w:eastAsia="zh-CN" w:bidi="ar-SA"/>
        </w:rPr>
        <w:t>至</w:t>
      </w:r>
      <w:r>
        <w:rPr>
          <w:rFonts w:ascii="宋体" w:hAnsi="宋体" w:eastAsia="宋体" w:cs="宋体"/>
          <w:bCs/>
          <w:color w:val="000000"/>
          <w:sz w:val="18"/>
          <w:szCs w:val="18"/>
          <w:lang w:val="en-US" w:eastAsia="zh-CN" w:bidi="ar-SA"/>
        </w:rPr>
        <w:t>投资者</w:t>
      </w:r>
      <w:r>
        <w:rPr>
          <w:rFonts w:hint="eastAsia" w:ascii="宋体" w:hAnsi="宋体" w:eastAsia="宋体" w:cs="宋体"/>
          <w:bCs/>
          <w:color w:val="000000"/>
          <w:sz w:val="18"/>
          <w:szCs w:val="18"/>
          <w:lang w:val="en-US" w:eastAsia="zh-CN" w:bidi="ar-SA"/>
        </w:rPr>
        <w:t>。</w:t>
      </w:r>
      <w:r>
        <w:rPr>
          <w:rFonts w:hint="eastAsia" w:ascii="宋体" w:hAnsi="宋体" w:eastAsia="宋体" w:cs="宋体"/>
          <w:color w:val="auto"/>
          <w:sz w:val="18"/>
          <w:szCs w:val="18"/>
          <w:lang w:val="en-US" w:eastAsia="zh-CN" w:bidi="ar-SA"/>
        </w:rPr>
        <w:t>在暂停赎回或延缓支付赎回款项的情况消除时，产品管理人应及时恢复赎回或支付业务赎回款项的办理。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（六）巨额赎回的情形及</w:t>
      </w:r>
      <w:r>
        <w:rPr>
          <w:rFonts w:ascii="宋体" w:hAnsi="宋体" w:eastAsia="宋体" w:cs="宋体"/>
          <w:b/>
          <w:color w:val="auto"/>
          <w:sz w:val="18"/>
          <w:szCs w:val="18"/>
          <w:lang w:val="en-US" w:eastAsia="zh-CN" w:bidi="ar-SA"/>
        </w:rPr>
        <w:t>处理方式</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w:t>
      </w:r>
      <w:r>
        <w:rPr>
          <w:rFonts w:ascii="宋体" w:hAnsi="宋体" w:eastAsia="宋体" w:cs="宋体"/>
          <w:bCs/>
          <w:sz w:val="18"/>
          <w:szCs w:val="18"/>
        </w:rPr>
        <w:t>巨额赎回的认定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w:t>
      </w:r>
      <w:r>
        <w:rPr>
          <w:rFonts w:ascii="宋体" w:hAnsi="宋体" w:eastAsia="宋体" w:cs="宋体"/>
          <w:bCs/>
          <w:sz w:val="18"/>
          <w:szCs w:val="18"/>
        </w:rPr>
        <w:t>巨额赎回的处理方式</w:t>
      </w:r>
    </w:p>
    <w:p>
      <w:pPr>
        <w:widowControl/>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出现巨额赎回时，产品管理人有权决定：（1）</w:t>
      </w:r>
      <w:r>
        <w:rPr>
          <w:rFonts w:ascii="宋体" w:hAnsi="宋体" w:eastAsia="宋体" w:cs="宋体"/>
          <w:bCs/>
          <w:sz w:val="18"/>
          <w:szCs w:val="18"/>
        </w:rPr>
        <w:t>不接受</w:t>
      </w:r>
      <w:r>
        <w:rPr>
          <w:rFonts w:hint="eastAsia" w:ascii="宋体" w:hAnsi="宋体" w:eastAsia="宋体" w:cs="宋体"/>
          <w:bCs/>
          <w:sz w:val="18"/>
          <w:szCs w:val="18"/>
        </w:rPr>
        <w:t>超出部分的净赎回申请，但投资者可于下一开放日重新进行赎回申请；（</w:t>
      </w:r>
      <w:r>
        <w:rPr>
          <w:rFonts w:ascii="宋体" w:hAnsi="宋体" w:eastAsia="宋体" w:cs="宋体"/>
          <w:bCs/>
          <w:sz w:val="18"/>
          <w:szCs w:val="18"/>
        </w:rPr>
        <w:t>2）延缓支付赎回款项</w:t>
      </w:r>
      <w:r>
        <w:rPr>
          <w:rFonts w:hint="eastAsia" w:ascii="宋体" w:hAnsi="宋体" w:eastAsia="宋体" w:cs="宋体"/>
          <w:bCs/>
          <w:sz w:val="18"/>
          <w:szCs w:val="18"/>
        </w:rPr>
        <w:t>。</w:t>
      </w:r>
      <w:r>
        <w:rPr>
          <w:rFonts w:ascii="宋体" w:hAnsi="宋体" w:eastAsia="宋体" w:cs="宋体"/>
          <w:bCs/>
          <w:sz w:val="18"/>
          <w:szCs w:val="18"/>
        </w:rPr>
        <w:t>如产品管理人认为有必要，</w:t>
      </w:r>
      <w:r>
        <w:rPr>
          <w:rFonts w:hint="eastAsia" w:ascii="宋体" w:hAnsi="宋体" w:eastAsia="宋体" w:cs="宋体"/>
          <w:bCs/>
          <w:sz w:val="18"/>
          <w:szCs w:val="18"/>
        </w:rPr>
        <w:t>针对</w:t>
      </w:r>
      <w:r>
        <w:rPr>
          <w:rFonts w:ascii="宋体" w:hAnsi="宋体" w:eastAsia="宋体" w:cs="宋体"/>
          <w:bCs/>
          <w:sz w:val="18"/>
          <w:szCs w:val="18"/>
        </w:rPr>
        <w:t>已经</w:t>
      </w:r>
      <w:r>
        <w:rPr>
          <w:rFonts w:hint="eastAsia" w:ascii="宋体" w:hAnsi="宋体" w:eastAsia="宋体" w:cs="宋体"/>
          <w:bCs/>
          <w:sz w:val="18"/>
          <w:szCs w:val="18"/>
        </w:rPr>
        <w:t>确认</w:t>
      </w:r>
      <w:r>
        <w:rPr>
          <w:rFonts w:ascii="宋体" w:hAnsi="宋体" w:eastAsia="宋体" w:cs="宋体"/>
          <w:bCs/>
          <w:sz w:val="18"/>
          <w:szCs w:val="18"/>
        </w:rPr>
        <w:t>的赎回申请</w:t>
      </w:r>
      <w:r>
        <w:rPr>
          <w:rFonts w:hint="eastAsia" w:ascii="宋体" w:hAnsi="宋体" w:eastAsia="宋体" w:cs="宋体"/>
          <w:bCs/>
          <w:sz w:val="18"/>
          <w:szCs w:val="18"/>
        </w:rPr>
        <w:t>，</w:t>
      </w:r>
      <w:r>
        <w:rPr>
          <w:rFonts w:ascii="宋体" w:hAnsi="宋体" w:eastAsia="宋体" w:cs="宋体"/>
          <w:bCs/>
          <w:sz w:val="18"/>
          <w:szCs w:val="18"/>
        </w:rPr>
        <w:t>可以延缓支付赎回款项。延缓支付赎回款项</w:t>
      </w:r>
      <w:r>
        <w:rPr>
          <w:rFonts w:hint="eastAsia" w:ascii="宋体" w:hAnsi="宋体" w:eastAsia="宋体" w:cs="宋体"/>
          <w:bCs/>
          <w:sz w:val="18"/>
          <w:szCs w:val="18"/>
        </w:rPr>
        <w:t>的</w:t>
      </w:r>
      <w:r>
        <w:rPr>
          <w:rFonts w:ascii="宋体" w:hAnsi="宋体" w:eastAsia="宋体" w:cs="宋体"/>
          <w:bCs/>
          <w:sz w:val="18"/>
          <w:szCs w:val="18"/>
        </w:rPr>
        <w:t>，</w:t>
      </w:r>
      <w:r>
        <w:rPr>
          <w:rFonts w:hint="eastAsia" w:ascii="宋体" w:hAnsi="宋体" w:eastAsia="宋体" w:cs="宋体"/>
          <w:bCs/>
          <w:sz w:val="18"/>
          <w:szCs w:val="18"/>
        </w:rPr>
        <w:t>已经确认</w:t>
      </w:r>
      <w:r>
        <w:rPr>
          <w:rFonts w:ascii="宋体" w:hAnsi="宋体" w:eastAsia="宋体" w:cs="宋体"/>
          <w:bCs/>
          <w:sz w:val="18"/>
          <w:szCs w:val="18"/>
        </w:rPr>
        <w:t>的赎回申请的</w:t>
      </w:r>
      <w:r>
        <w:rPr>
          <w:rFonts w:hint="eastAsia" w:ascii="宋体" w:hAnsi="宋体" w:eastAsia="宋体" w:cs="宋体"/>
          <w:bCs/>
          <w:sz w:val="18"/>
          <w:szCs w:val="18"/>
        </w:rPr>
        <w:t>相应赎回</w:t>
      </w:r>
      <w:r>
        <w:rPr>
          <w:rFonts w:ascii="宋体" w:hAnsi="宋体" w:eastAsia="宋体" w:cs="宋体"/>
          <w:bCs/>
          <w:sz w:val="18"/>
          <w:szCs w:val="18"/>
        </w:rPr>
        <w:t>款项将会在不超过20个工作日内支付</w:t>
      </w:r>
      <w:r>
        <w:rPr>
          <w:rFonts w:hint="eastAsia" w:ascii="宋体" w:hAnsi="宋体" w:eastAsia="宋体" w:cs="宋体"/>
          <w:bCs/>
          <w:sz w:val="18"/>
          <w:szCs w:val="18"/>
        </w:rPr>
        <w:t>至</w:t>
      </w:r>
      <w:r>
        <w:rPr>
          <w:rFonts w:ascii="宋体" w:hAnsi="宋体" w:eastAsia="宋体" w:cs="宋体"/>
          <w:bCs/>
          <w:sz w:val="18"/>
          <w:szCs w:val="18"/>
        </w:rPr>
        <w:t>投资者</w:t>
      </w:r>
      <w:r>
        <w:rPr>
          <w:rFonts w:hint="eastAsia" w:ascii="宋体" w:hAnsi="宋体" w:eastAsia="宋体" w:cs="宋体"/>
          <w:bCs/>
          <w:sz w:val="18"/>
          <w:szCs w:val="18"/>
        </w:rPr>
        <w:t>。（3）法律法规规定或监管机构规定的其他措施。</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巨额赎回的公告</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在发生巨额赎回产品管理人暂停接受投资者赎回申请时，产品管理人将依约定发布相关公告信息。</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（七）日期遇非工作日的调整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（八）投资者持有理财份额的限额和理财产品总规模限额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kern w:val="0"/>
          <w:sz w:val="18"/>
          <w:szCs w:val="18"/>
        </w:rPr>
      </w:pPr>
      <w:r>
        <w:rPr>
          <w:rFonts w:ascii="宋体" w:hAnsi="宋体" w:cs="宋体"/>
          <w:bCs/>
          <w:sz w:val="18"/>
          <w:szCs w:val="18"/>
        </w:rPr>
        <w:br w:type="page"/>
      </w:r>
    </w:p>
    <w:bookmarkEnd w:id="105"/>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13" w:name="_Toc90742321"/>
      <w:bookmarkStart w:id="114" w:name="_Toc16265"/>
      <w:bookmarkStart w:id="115" w:name="_Toc6714"/>
      <w:bookmarkStart w:id="116" w:name="_Toc27226"/>
      <w:bookmarkStart w:id="117" w:name="_Toc15203"/>
      <w:bookmarkStart w:id="118" w:name="_Toc25685"/>
      <w:bookmarkStart w:id="119" w:name="_Toc90742688"/>
      <w:bookmarkStart w:id="120" w:name="_Toc92377134"/>
      <w:bookmarkStart w:id="121" w:name="_Toc79154668"/>
      <w:bookmarkStart w:id="122" w:name="_Toc22074"/>
      <w:bookmarkStart w:id="123" w:name="_Toc29948"/>
      <w:bookmarkStart w:id="124" w:name="_Toc12517"/>
      <w:bookmarkStart w:id="125" w:name="_Toc29784"/>
      <w:bookmarkStart w:id="126" w:name="_Toc27189"/>
      <w:bookmarkStart w:id="127" w:name="_Toc3266"/>
      <w:bookmarkStart w:id="128" w:name="_Toc90742390"/>
      <w:bookmarkStart w:id="129" w:name="_Toc7151"/>
      <w:bookmarkStart w:id="130" w:name="_Toc23413"/>
      <w:bookmarkStart w:id="131" w:name="_Toc74065741"/>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五条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（3）国债期货、利率互换、债券借贷。</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（4）投资于上述资产的符合监管要求的公募基金、基金公司或子公司资产管理计划、证券公司资</w:t>
      </w:r>
    </w:p>
    <w:p>
      <w:pPr>
        <w:autoSpaceDE w:val="0"/>
        <w:autoSpaceDN w:val="0"/>
        <w:adjustRightInd w:val="0"/>
        <w:spacing w:line="360" w:lineRule="auto"/>
        <w:jc w:val="left"/>
        <w:rPr>
          <w:rFonts w:ascii="宋体" w:hAnsi="宋体" w:eastAsia="宋体" w:cs="宋体"/>
          <w:bCs/>
          <w:kern w:val="0"/>
          <w:sz w:val="18"/>
          <w:szCs w:val="18"/>
        </w:rPr>
      </w:pPr>
      <w:r>
        <w:rPr>
          <w:rFonts w:hint="eastAsia" w:ascii="宋体" w:hAnsi="宋体" w:eastAsia="宋体" w:cs="宋体"/>
          <w:bCs/>
          <w:kern w:val="0"/>
          <w:sz w:val="18"/>
          <w:szCs w:val="18"/>
        </w:rPr>
        <w:t>产管理计划、保险资产管理计划及信托计划等。</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（5）其他风险不高于前述资产的资产。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本产品投资于债权类资产的比例不低于产品总资产的80%。</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.如果法律法规对本销售文件约定投资组合比例限制进行变更的，以变更后的规定为准。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应当符合本销售文件</w:t>
      </w:r>
      <w:r>
        <w:rPr>
          <w:rFonts w:ascii="宋体" w:hAnsi="宋体" w:eastAsia="宋体" w:cs="宋体"/>
          <w:bCs/>
          <w:sz w:val="18"/>
          <w:szCs w:val="18"/>
        </w:rPr>
        <w:t>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cs="宋体"/>
          <w:bCs/>
          <w:sz w:val="18"/>
          <w:szCs w:val="18"/>
        </w:rPr>
        <w:t>投资者有权不接受变更</w:t>
      </w:r>
      <w:r>
        <w:rPr>
          <w:rFonts w:hint="eastAsia" w:ascii="黑体" w:hAnsi="黑体" w:eastAsia="黑体" w:cs="宋体"/>
          <w:bCs/>
          <w:sz w:val="18"/>
          <w:szCs w:val="18"/>
        </w:rPr>
        <w:t>，并通过赎回退出本产品。</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w:t>
      </w:r>
      <w:r>
        <w:rPr>
          <w:rFonts w:hint="eastAsia" w:ascii="黑体" w:hAnsi="黑体" w:eastAsia="黑体" w:cs="宋体"/>
          <w:bCs/>
          <w:color w:val="000000"/>
          <w:sz w:val="18"/>
          <w:szCs w:val="18"/>
          <w:lang w:val="en-US" w:eastAsia="zh-CN" w:bidi="ar-SA"/>
        </w:rPr>
        <w:t>销售文件</w:t>
      </w:r>
      <w:r>
        <w:rPr>
          <w:rFonts w:ascii="黑体" w:hAnsi="黑体" w:eastAsia="黑体" w:cs="宋体"/>
          <w:bCs/>
          <w:color w:val="000000"/>
          <w:sz w:val="18"/>
          <w:szCs w:val="18"/>
          <w:lang w:val="en-US" w:eastAsia="zh-CN" w:bidi="ar-SA"/>
        </w:rPr>
        <w:t>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（3）全部理财产品持有单一上市公司发行的股票，不得超过该上市公司可流通股票的30%。</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面向单一投资者发行的私募理财产品可不受前款比例限制。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 xml:space="preserve">（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 </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面向单一投资者发行的私募理财产品可不受前款比例限制。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 xml:space="preserve">（8）本产品因为流动性需要可开展存单质押、债券正回购等融资业务，本产品总资产不超过净资产的140%。 </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w:t>
      </w:r>
      <w:r>
        <w:rPr>
          <w:rFonts w:hint="eastAsia" w:ascii="宋体" w:hAnsi="宋体" w:eastAsia="宋体" w:cs="宋体"/>
          <w:bCs/>
          <w:sz w:val="18"/>
          <w:szCs w:val="18"/>
        </w:rPr>
        <w:t>销售文件</w:t>
      </w:r>
      <w:r>
        <w:rPr>
          <w:rFonts w:ascii="宋体" w:hAnsi="宋体" w:eastAsia="宋体" w:cs="宋体"/>
          <w:bCs/>
          <w:sz w:val="18"/>
          <w:szCs w:val="18"/>
        </w:rPr>
        <w:t>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360" w:firstLineChars="200"/>
        <w:jc w:val="left"/>
        <w:rPr>
          <w:rFonts w:ascii="宋体" w:hAnsi="宋体" w:eastAsia="宋体" w:cs="宋体"/>
          <w:kern w:val="0"/>
          <w:sz w:val="18"/>
          <w:szCs w:val="18"/>
          <w:lang w:val="en-US" w:eastAsia="zh-CN" w:bidi="ar-SA"/>
        </w:rPr>
      </w:pPr>
      <w:r>
        <w:rPr>
          <w:rFonts w:ascii="宋体" w:hAnsi="宋体" w:eastAsia="宋体" w:cs="宋体"/>
          <w:kern w:val="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32" w:name="_Toc92377135"/>
      <w:bookmarkStart w:id="133" w:name="_Toc26986"/>
      <w:bookmarkStart w:id="134" w:name="_Toc4741"/>
      <w:bookmarkStart w:id="135" w:name="_Toc5702"/>
      <w:bookmarkStart w:id="136" w:name="_Toc139991735"/>
      <w:bookmarkStart w:id="137" w:name="_Toc14893"/>
      <w:bookmarkStart w:id="138" w:name="_Toc21988"/>
      <w:bookmarkStart w:id="139" w:name="_Toc18329"/>
      <w:bookmarkStart w:id="140" w:name="_Toc27967"/>
      <w:bookmarkStart w:id="141" w:name="_Toc1823"/>
      <w:bookmarkStart w:id="142" w:name="_Toc141703885"/>
      <w:bookmarkStart w:id="143" w:name="_Toc18797"/>
      <w:bookmarkStart w:id="144" w:name="_Toc74065742"/>
      <w:bookmarkStart w:id="145" w:name="_Toc79154669"/>
      <w:bookmarkStart w:id="146" w:name="_Toc18526"/>
      <w:bookmarkStart w:id="147" w:name="_Toc7848"/>
      <w:bookmarkStart w:id="148" w:name="_Toc17912"/>
      <w:bookmarkStart w:id="149" w:name="_Toc31087"/>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六条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50"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50"/>
    <w:p>
      <w:pPr>
        <w:keepNext/>
        <w:keepLines/>
        <w:widowControl w:val="0"/>
        <w:spacing w:before="0" w:after="0" w:line="360" w:lineRule="auto"/>
        <w:jc w:val="center"/>
        <w:outlineLvl w:val="0"/>
        <w:rPr>
          <w:rFonts w:ascii="Times New Roman" w:hAnsi="Calibri" w:eastAsia="宋体" w:cs="宋体"/>
          <w:b/>
          <w:bCs/>
          <w:kern w:val="44"/>
          <w:sz w:val="28"/>
          <w:szCs w:val="28"/>
          <w:lang w:val="en-US" w:eastAsia="zh-CN" w:bidi="ar-SA"/>
        </w:rPr>
      </w:pPr>
      <w:bookmarkStart w:id="151" w:name="_Toc11152"/>
      <w:bookmarkStart w:id="152" w:name="_Toc92377136"/>
      <w:bookmarkStart w:id="153" w:name="_Toc13903"/>
      <w:bookmarkStart w:id="154" w:name="_Toc19132"/>
      <w:bookmarkStart w:id="155" w:name="_Toc83391971"/>
      <w:bookmarkStart w:id="156" w:name="_Toc141703886"/>
      <w:bookmarkStart w:id="157" w:name="_Toc20733"/>
      <w:bookmarkStart w:id="158" w:name="_Toc23261"/>
      <w:bookmarkStart w:id="159" w:name="_Toc610"/>
      <w:bookmarkStart w:id="160" w:name="_Toc123102453"/>
      <w:bookmarkStart w:id="161" w:name="_Toc17244"/>
      <w:bookmarkStart w:id="162" w:name="_Toc4003"/>
      <w:bookmarkStart w:id="163" w:name="_Toc7920"/>
      <w:bookmarkStart w:id="164" w:name="_Toc23822"/>
      <w:bookmarkStart w:id="165" w:name="_Toc1270"/>
      <w:bookmarkStart w:id="166" w:name="_Toc79392606"/>
      <w:bookmarkStart w:id="167" w:name="_Toc48649707"/>
      <w:bookmarkStart w:id="168" w:name="_Toc139991736"/>
      <w:bookmarkStart w:id="169" w:name="_Toc123112234"/>
      <w:bookmarkStart w:id="170" w:name="_Toc10463"/>
      <w:bookmarkStart w:id="171" w:name="_Toc74065743"/>
      <w:bookmarkStart w:id="172" w:name="_Toc98560352"/>
      <w:bookmarkStart w:id="173" w:name="_Toc123051452"/>
      <w:bookmarkStart w:id="174" w:name="_Toc79154670"/>
      <w:bookmarkStart w:id="175" w:name="_Toc1427"/>
      <w:r>
        <w:rPr>
          <w:rFonts w:hint="eastAsia" w:ascii="Times New Roman" w:hAnsi="Calibri" w:eastAsia="宋体" w:cs="宋体"/>
          <w:b/>
          <w:bCs/>
          <w:kern w:val="44"/>
          <w:sz w:val="28"/>
          <w:szCs w:val="28"/>
          <w:lang w:val="en-US" w:eastAsia="zh-CN" w:bidi="ar-SA"/>
        </w:rPr>
        <w:t>第七条</w:t>
      </w:r>
      <w:r>
        <w:rPr>
          <w:rFonts w:ascii="Times New Roman" w:hAnsi="Calibri" w:eastAsia="宋体" w:cs="宋体"/>
          <w:b/>
          <w:bCs/>
          <w:kern w:val="44"/>
          <w:sz w:val="28"/>
          <w:szCs w:val="28"/>
          <w:lang w:val="en-US" w:eastAsia="zh-CN" w:bidi="ar-SA"/>
        </w:rPr>
        <w:t xml:space="preserve">  </w:t>
      </w:r>
      <w:r>
        <w:rPr>
          <w:rFonts w:hint="eastAsia" w:ascii="Times New Roman" w:hAnsi="Calibri" w:eastAsia="宋体" w:cs="宋体"/>
          <w:b/>
          <w:bCs/>
          <w:kern w:val="44"/>
          <w:sz w:val="28"/>
          <w:szCs w:val="28"/>
          <w:lang w:val="en-US" w:eastAsia="zh-CN" w:bidi="ar-SA"/>
        </w:rPr>
        <w:t>理财产品项下资产的估值</w:t>
      </w:r>
      <w:bookmarkEnd w:id="151"/>
      <w:bookmarkEnd w:id="152"/>
      <w:bookmarkEnd w:id="153"/>
      <w:bookmarkEnd w:id="154"/>
      <w:bookmarkEnd w:id="155"/>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（二）估值频率</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360" w:firstLineChars="200"/>
        <w:jc w:val="left"/>
        <w:rPr>
          <w:rFonts w:ascii="宋体" w:hAnsi="宋体" w:eastAsia="宋体" w:cs="宋体"/>
          <w:color w:val="2E3033"/>
          <w:kern w:val="0"/>
          <w:sz w:val="18"/>
          <w:szCs w:val="18"/>
          <w:lang w:val="en-US" w:eastAsia="zh-CN" w:bidi="ar-SA"/>
        </w:rPr>
      </w:pPr>
      <w:r>
        <w:rPr>
          <w:rFonts w:hint="eastAsia" w:ascii="宋体" w:hAnsi="宋体" w:eastAsia="宋体" w:cs="宋体"/>
          <w:kern w:val="0"/>
          <w:sz w:val="18"/>
          <w:szCs w:val="18"/>
          <w:lang w:val="en-US" w:eastAsia="zh-CN" w:bidi="ar-SA"/>
        </w:rPr>
        <w:t>本产品存续期间</w:t>
      </w:r>
      <w:r>
        <w:rPr>
          <w:rFonts w:hint="eastAsia" w:ascii="宋体" w:hAnsi="宋体" w:eastAsia="宋体" w:cs="Times New Roman"/>
          <w:kern w:val="0"/>
          <w:sz w:val="18"/>
          <w:szCs w:val="18"/>
          <w:lang w:val="en-US" w:eastAsia="zh-CN" w:bidi="ar-SA"/>
        </w:rPr>
        <w:t>，每个【工作日】进行一次估值</w:t>
      </w:r>
      <w:r>
        <w:rPr>
          <w:rFonts w:hint="eastAsia" w:ascii="宋体" w:hAnsi="宋体" w:eastAsia="宋体" w:cs="宋体"/>
          <w:color w:val="2E3033"/>
          <w:kern w:val="0"/>
          <w:sz w:val="18"/>
          <w:szCs w:val="18"/>
          <w:lang w:val="en-US" w:eastAsia="zh-CN" w:bidi="ar-SA"/>
        </w:rPr>
        <w:t>。</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361" w:firstLineChars="200"/>
        <w:rPr>
          <w:rFonts w:ascii="宋体" w:hAnsi="宋体" w:eastAsia="宋体" w:cs="宋体"/>
          <w:b/>
          <w:color w:val="000000"/>
          <w:sz w:val="18"/>
          <w:szCs w:val="18"/>
          <w:lang w:val="en-US" w:eastAsia="zh-CN" w:bidi="ar-SA"/>
        </w:rPr>
      </w:pPr>
      <w:r>
        <w:rPr>
          <w:rFonts w:hint="eastAsia" w:ascii="宋体" w:hAnsi="宋体" w:eastAsia="宋体" w:cs="宋体"/>
          <w:b/>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标准化债权类资产估值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标准化债权类</w:t>
      </w:r>
      <w:r>
        <w:rPr>
          <w:rFonts w:ascii="宋体" w:hAnsi="宋体" w:eastAsia="宋体" w:cs="宋体"/>
          <w:bCs/>
          <w:color w:val="auto"/>
          <w:sz w:val="18"/>
          <w:szCs w:val="18"/>
          <w:lang w:val="en-US" w:eastAsia="zh-CN" w:bidi="ar-SA"/>
        </w:rPr>
        <w:t>资产以公允价值计量，主要依据为第三方估值机构提供的价格数据。</w:t>
      </w:r>
      <w:r>
        <w:rPr>
          <w:rFonts w:hint="eastAsia" w:ascii="宋体" w:hAnsi="宋体" w:eastAsia="宋体" w:cs="宋体"/>
          <w:bCs/>
          <w:color w:val="auto"/>
          <w:sz w:val="18"/>
          <w:szCs w:val="18"/>
          <w:lang w:val="en-US" w:eastAsia="zh-CN" w:bidi="ar-SA"/>
        </w:rPr>
        <w:t>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ascii="宋体" w:hAnsi="宋体" w:eastAsia="宋体" w:cs="宋体"/>
          <w:bCs/>
          <w:color w:val="auto"/>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非标准化债权类资产，是指不满足中国人民银行制定的标准化债权类资产认定标准的债权类资产。可选取第三方估值机构的价格数据或采用估值技术进行估值。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4.上市公司股票</w:t>
      </w:r>
      <w:r>
        <w:rPr>
          <w:rFonts w:hint="eastAsia" w:ascii="宋体" w:hAnsi="宋体" w:eastAsia="宋体" w:cs="宋体"/>
          <w:color w:val="auto"/>
          <w:sz w:val="18"/>
          <w:szCs w:val="18"/>
          <w:lang w:val="en-US" w:eastAsia="zh-CN" w:bidi="ar-SA"/>
        </w:rPr>
        <w:t>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3）通过公开、非公开等方式取得且有明确限售期的股票，在限售期内，应以证券交易所上市交易的同一股票的公允价值为基础，引入流动性折扣进行估值。</w:t>
      </w:r>
      <w:r>
        <w:rPr>
          <w:rFonts w:hint="eastAsia" w:ascii="宋体" w:hAnsi="宋体" w:eastAsia="宋体" w:cs="宋体"/>
          <w:color w:val="auto"/>
          <w:sz w:val="18"/>
          <w:szCs w:val="18"/>
          <w:lang w:val="en-US" w:eastAsia="zh-CN" w:bidi="ar-SA"/>
        </w:rPr>
        <w:t>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4）长期停牌股票，</w:t>
      </w:r>
      <w:r>
        <w:rPr>
          <w:rFonts w:hint="eastAsia" w:ascii="宋体" w:hAnsi="宋体" w:eastAsia="宋体" w:cs="宋体"/>
          <w:color w:val="auto"/>
          <w:sz w:val="18"/>
          <w:szCs w:val="18"/>
          <w:lang w:val="en-US" w:eastAsia="zh-CN" w:bidi="ar-SA"/>
        </w:rPr>
        <w:t>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优先股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证券投资基金估值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1)本产品投资的ETF基金、境内上市定期开放式基金、封闭式基金，按照所投资基金估值日的收盘价估</w:t>
      </w:r>
      <w:r>
        <w:rPr>
          <w:rFonts w:hint="eastAsia" w:ascii="宋体" w:hAnsi="宋体" w:eastAsia="宋体" w:cs="宋体"/>
          <w:color w:val="auto"/>
          <w:sz w:val="18"/>
          <w:szCs w:val="18"/>
          <w:lang w:val="en-US" w:eastAsia="zh-CN" w:bidi="ar-SA"/>
        </w:rPr>
        <w:t>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3)本产品投资的境内上市交易型货币市场基金，如所投资基金披露份额净值，则按所投资基金估值日的份额净值估值，</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ascii="宋体" w:hAnsi="宋体" w:eastAsia="宋体" w:cs="宋体"/>
          <w:color w:val="auto"/>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其他资产管理产品的估值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w:t>
      </w:r>
      <w:r>
        <w:rPr>
          <w:rFonts w:hint="eastAsia" w:ascii="宋体" w:hAnsi="宋体" w:eastAsia="宋体" w:cs="宋体"/>
          <w:bCs/>
          <w:color w:val="000000"/>
          <w:sz w:val="18"/>
          <w:szCs w:val="18"/>
          <w:lang w:val="en-US" w:eastAsia="zh-CN" w:bidi="ar-SA"/>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r>
        <w:rPr>
          <w:rFonts w:ascii="宋体" w:hAnsi="宋体" w:eastAsia="宋体" w:cs="宋体"/>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10.</w:t>
      </w:r>
      <w:r>
        <w:rPr>
          <w:rFonts w:hint="eastAsia" w:ascii="宋体" w:hAnsi="宋体" w:eastAsia="宋体" w:cs="宋体"/>
          <w:bCs/>
          <w:color w:val="auto"/>
          <w:sz w:val="18"/>
          <w:szCs w:val="18"/>
          <w:lang w:val="en-US" w:eastAsia="zh-CN" w:bidi="ar-SA"/>
        </w:rPr>
        <w:t>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11.</w:t>
      </w:r>
      <w:r>
        <w:rPr>
          <w:rFonts w:hint="eastAsia" w:ascii="宋体" w:hAnsi="宋体" w:eastAsia="宋体" w:cs="宋体"/>
          <w:color w:val="auto"/>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12.当开放式公募理财产品（现金管理类理财产品除外）遭遇大额申购或赎回时，管理人可以采用摆动定价机制，以确保估值的公平性。具体操作按照相关法律法规、监管规定和自律规则执行。</w:t>
      </w:r>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ascii="黑体" w:hAnsi="黑体" w:eastAsia="黑体" w:cs="宋体"/>
          <w:color w:val="auto"/>
          <w:sz w:val="18"/>
          <w:szCs w:val="18"/>
          <w:lang w:val="en-US" w:eastAsia="zh-CN" w:bidi="ar-SA"/>
        </w:rPr>
        <w:t>1</w:t>
      </w:r>
      <w:r>
        <w:rPr>
          <w:rFonts w:hint="eastAsia" w:ascii="黑体" w:hAnsi="黑体" w:eastAsia="黑体" w:cs="宋体"/>
          <w:color w:val="auto"/>
          <w:sz w:val="18"/>
          <w:szCs w:val="18"/>
          <w:lang w:val="en-US" w:eastAsia="zh-CN" w:bidi="ar-SA"/>
        </w:rPr>
        <w:t>3</w:t>
      </w:r>
      <w:r>
        <w:rPr>
          <w:rFonts w:ascii="黑体" w:hAnsi="黑体" w:eastAsia="黑体" w:cs="宋体"/>
          <w:color w:val="auto"/>
          <w:sz w:val="18"/>
          <w:szCs w:val="18"/>
          <w:lang w:val="en-US" w:eastAsia="zh-CN" w:bidi="ar-SA"/>
        </w:rPr>
        <w:t>.</w:t>
      </w:r>
      <w:r>
        <w:rPr>
          <w:rFonts w:hint="eastAsia" w:ascii="黑体" w:hAnsi="黑体" w:eastAsia="黑体" w:cs="宋体"/>
          <w:color w:val="auto"/>
          <w:sz w:val="18"/>
          <w:szCs w:val="18"/>
          <w:lang w:val="en-US" w:eastAsia="zh-CN" w:bidi="ar-SA"/>
        </w:rPr>
        <w:t>★估值方法的调整</w:t>
      </w:r>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产品份额净值是按照估值日产品资产净值除以当日产品总份额计算，</w:t>
      </w:r>
      <w:r>
        <w:rPr>
          <w:rFonts w:ascii="宋体" w:hAnsi="宋体" w:eastAsia="宋体" w:cs="宋体"/>
          <w:bCs/>
          <w:color w:val="auto"/>
          <w:sz w:val="18"/>
          <w:szCs w:val="18"/>
          <w:lang w:val="en-US" w:eastAsia="zh-CN" w:bidi="ar-SA"/>
        </w:rPr>
        <w:t>四舍五入保留5位小数</w:t>
      </w:r>
      <w:r>
        <w:rPr>
          <w:rFonts w:hint="eastAsia" w:ascii="宋体" w:hAnsi="宋体" w:eastAsia="宋体" w:cs="宋体"/>
          <w:color w:val="auto"/>
          <w:sz w:val="18"/>
          <w:szCs w:val="18"/>
          <w:lang w:val="en-US" w:eastAsia="zh-CN" w:bidi="ar-SA"/>
        </w:rPr>
        <w:t>。国家另有规定的，从其规定。</w:t>
      </w:r>
      <w:r>
        <w:rPr>
          <w:rFonts w:hint="eastAsia" w:ascii="宋体" w:hAnsi="宋体" w:eastAsia="宋体" w:cs="宋体"/>
          <w:bCs/>
          <w:color w:val="auto"/>
          <w:sz w:val="18"/>
          <w:szCs w:val="18"/>
          <w:lang w:val="en-US" w:eastAsia="zh-CN" w:bidi="ar-SA"/>
        </w:rPr>
        <w:t>发生巨额赎回时，为保护投资者利益，产品管理人可提高单位产品净值的精度。</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如产品管理人或产品托管人发现理财估值违反本说明书约定的估值方法、程序及相关法律法规的规定或者未能充分维护理财份额持有人权益时，应立即通知对方，共同查明原因，双方协商解决。</w:t>
      </w:r>
    </w:p>
    <w:p>
      <w:pPr>
        <w:widowControl w:val="0"/>
        <w:autoSpaceDE w:val="0"/>
        <w:autoSpaceDN w:val="0"/>
        <w:adjustRightInd w:val="0"/>
        <w:spacing w:line="360" w:lineRule="auto"/>
        <w:ind w:firstLine="361" w:firstLineChars="200"/>
        <w:rPr>
          <w:rFonts w:ascii="宋体" w:hAnsi="宋体" w:eastAsia="宋体" w:cs="Times New Roman"/>
          <w:b/>
          <w:color w:val="auto"/>
          <w:sz w:val="18"/>
          <w:szCs w:val="18"/>
          <w:lang w:val="en-US" w:eastAsia="zh-CN" w:bidi="ar-SA"/>
        </w:rPr>
      </w:pPr>
      <w:r>
        <w:rPr>
          <w:rFonts w:hint="eastAsia" w:ascii="宋体" w:hAnsi="宋体" w:eastAsia="宋体" w:cs="Times New Roman"/>
          <w:b/>
          <w:color w:val="auto"/>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76" w:name="_Hlt70481650"/>
      <w:bookmarkEnd w:id="176"/>
      <w:bookmarkStart w:id="177" w:name="_Toc92377137"/>
      <w:bookmarkStart w:id="178" w:name="_Toc8045"/>
      <w:bookmarkStart w:id="179" w:name="_Toc6405"/>
      <w:bookmarkStart w:id="180" w:name="_Toc79154671"/>
      <w:bookmarkStart w:id="181" w:name="_Toc12245"/>
      <w:bookmarkStart w:id="182" w:name="_Toc98560353"/>
      <w:bookmarkStart w:id="183" w:name="_Toc29251"/>
      <w:bookmarkStart w:id="184" w:name="_Toc26207"/>
      <w:bookmarkStart w:id="185" w:name="_Toc8695"/>
      <w:bookmarkStart w:id="186" w:name="_Toc74065744"/>
      <w:bookmarkStart w:id="187" w:name="_Toc3601"/>
      <w:bookmarkStart w:id="188" w:name="_Toc31644"/>
      <w:bookmarkStart w:id="189" w:name="_Toc4020"/>
      <w:bookmarkStart w:id="190" w:name="_Toc139991737"/>
      <w:bookmarkStart w:id="191" w:name="_Toc14835"/>
      <w:bookmarkStart w:id="192" w:name="_Toc123112235"/>
      <w:bookmarkStart w:id="193" w:name="_Toc123051453"/>
      <w:bookmarkStart w:id="194" w:name="_Toc123102454"/>
      <w:bookmarkStart w:id="195" w:name="_Toc15143"/>
      <w:bookmarkStart w:id="196" w:name="_Toc31235"/>
      <w:bookmarkStart w:id="197" w:name="_Toc31653"/>
      <w:bookmarkStart w:id="198" w:name="_Toc141703887"/>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八条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Hlt55355235"/>
      <w:bookmarkEnd w:id="199"/>
      <w:bookmarkStart w:id="200" w:name="_Toc57530239"/>
      <w:bookmarkStart w:id="201" w:name="_Toc15118234"/>
      <w:bookmarkStart w:id="202" w:name="_Toc523711668"/>
      <w:bookmarkStart w:id="203" w:name="_Toc79392580"/>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 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 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3.理财产品存续期间，产品管理人有权视理财产品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200"/>
    <w:bookmarkEnd w:id="201"/>
    <w:bookmarkEnd w:id="202"/>
    <w:bookmarkEnd w:id="203"/>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204" w:name="_Hlt88897298"/>
      <w:bookmarkEnd w:id="204"/>
      <w:bookmarkStart w:id="205" w:name="_Hlt88825574"/>
      <w:bookmarkEnd w:id="205"/>
      <w:bookmarkStart w:id="206" w:name="_Toc6447"/>
      <w:bookmarkStart w:id="207" w:name="_Toc25783"/>
      <w:bookmarkStart w:id="208" w:name="_Toc9706"/>
      <w:bookmarkStart w:id="209" w:name="_Toc92377138"/>
      <w:bookmarkStart w:id="210" w:name="_Toc22998"/>
      <w:bookmarkStart w:id="211" w:name="_Toc98560354"/>
      <w:bookmarkStart w:id="212" w:name="_Toc123102455"/>
      <w:bookmarkStart w:id="213" w:name="_Toc3771"/>
      <w:bookmarkStart w:id="214" w:name="_Toc74065745"/>
      <w:bookmarkStart w:id="215" w:name="_Toc4559"/>
      <w:bookmarkStart w:id="216" w:name="_Toc123112236"/>
      <w:bookmarkStart w:id="217" w:name="_Toc79392583"/>
      <w:bookmarkStart w:id="218" w:name="_Toc139991738"/>
      <w:bookmarkStart w:id="219" w:name="_Toc3321"/>
      <w:bookmarkStart w:id="220" w:name="_Toc11030"/>
      <w:bookmarkStart w:id="221" w:name="_Toc18567"/>
      <w:bookmarkStart w:id="222" w:name="_Toc141703888"/>
      <w:bookmarkStart w:id="223" w:name="_Toc10650"/>
      <w:bookmarkStart w:id="224" w:name="_Toc79154672"/>
      <w:bookmarkStart w:id="225" w:name="_Toc6394"/>
      <w:bookmarkStart w:id="226" w:name="_Toc123051454"/>
      <w:bookmarkStart w:id="227" w:name="_Toc1043"/>
      <w:bookmarkStart w:id="228" w:name="_Toc7058"/>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九条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（一）理财产品的费用</w:t>
      </w:r>
    </w:p>
    <w:p>
      <w:pPr>
        <w:widowControl/>
        <w:spacing w:line="360" w:lineRule="auto"/>
        <w:ind w:firstLine="360" w:firstLineChars="200"/>
        <w:jc w:val="left"/>
        <w:rPr>
          <w:rFonts w:ascii="Calibri" w:hAnsi="宋体" w:cs="宋体"/>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理财产品费用的种类</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1）理财产品的认购费、申购费、赎回费</w:t>
      </w:r>
      <w:r>
        <w:rPr>
          <w:rFonts w:hint="eastAsia" w:ascii="宋体" w:hAnsi="宋体" w:cs="宋体"/>
          <w:kern w:val="0"/>
          <w:sz w:val="18"/>
          <w:szCs w:val="18"/>
        </w:rPr>
        <w:t>；</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2）理财产品的销售服务费</w:t>
      </w:r>
      <w:r>
        <w:rPr>
          <w:rFonts w:hint="eastAsia" w:ascii="宋体" w:hAnsi="宋体" w:cs="宋体"/>
          <w:kern w:val="0"/>
          <w:sz w:val="18"/>
          <w:szCs w:val="18"/>
        </w:rPr>
        <w:t>；</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3）理财产品的投资管理费及超额业绩报酬；</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4</w:t>
      </w:r>
      <w:r>
        <w:rPr>
          <w:rFonts w:hint="eastAsia" w:ascii="宋体" w:hAnsi="宋体" w:cs="宋体"/>
          <w:kern w:val="0"/>
          <w:sz w:val="18"/>
          <w:szCs w:val="18"/>
        </w:rPr>
        <w:t>）理财产品的产品托管费；</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）理财产品的交易费用（包括但不限于证券交易费用、经纪费用等）；</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）理财产品验资费、审计费、律师费、信息披露费、清算费、执行费用等相关费用；</w:t>
      </w:r>
    </w:p>
    <w:p>
      <w:pPr>
        <w:widowControl/>
        <w:spacing w:line="360" w:lineRule="auto"/>
        <w:ind w:firstLine="360" w:firstLineChars="200"/>
        <w:jc w:val="left"/>
        <w:rPr>
          <w:rFonts w:ascii="Calibri" w:hAnsi="宋体" w:cs="宋体"/>
          <w:sz w:val="18"/>
          <w:szCs w:val="18"/>
        </w:rPr>
      </w:pPr>
      <w:r>
        <w:rPr>
          <w:rFonts w:hint="eastAsia" w:ascii="宋体" w:hAnsi="宋体" w:cs="宋体"/>
          <w:kern w:val="0"/>
          <w:sz w:val="18"/>
          <w:szCs w:val="18"/>
        </w:rPr>
        <w:t>（</w:t>
      </w:r>
      <w:r>
        <w:rPr>
          <w:rFonts w:ascii="宋体" w:hAnsi="宋体" w:cs="宋体"/>
          <w:kern w:val="0"/>
          <w:sz w:val="18"/>
          <w:szCs w:val="18"/>
        </w:rPr>
        <w:t>7</w:t>
      </w:r>
      <w:r>
        <w:rPr>
          <w:rFonts w:hint="eastAsia" w:ascii="宋体" w:hAnsi="宋体" w:cs="宋体"/>
          <w:kern w:val="0"/>
          <w:sz w:val="18"/>
          <w:szCs w:val="18"/>
        </w:rPr>
        <w:t>）按照国家法律法规规定可以列入的其他费用。</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2.</w:t>
      </w:r>
      <w:r>
        <w:rPr>
          <w:rFonts w:hint="eastAsia" w:ascii="宋体" w:hAnsi="宋体" w:cs="宋体"/>
          <w:kern w:val="0"/>
          <w:sz w:val="18"/>
          <w:szCs w:val="18"/>
        </w:rPr>
        <w:t>理财产品费用计提方法、计提标准和支付方式</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）理财产品的认购费、申购费、赎回费</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1）认购费：</w:t>
      </w:r>
      <w:r>
        <w:rPr>
          <w:rFonts w:ascii="宋体" w:hAnsi="宋体" w:eastAsia="宋体" w:cs="宋体"/>
          <w:bCs/>
          <w:sz w:val="18"/>
          <w:szCs w:val="18"/>
        </w:rPr>
        <w:t>费率</w:t>
      </w:r>
      <w:r>
        <w:rPr>
          <w:rFonts w:hint="eastAsia" w:ascii="宋体" w:hAnsi="宋体" w:eastAsia="宋体" w:cs="宋体"/>
          <w:bCs/>
          <w:sz w:val="18"/>
          <w:szCs w:val="18"/>
        </w:rPr>
        <w:t>具体数值以</w:t>
      </w:r>
      <w:r>
        <w:rPr>
          <w:rFonts w:hint="eastAsia" w:ascii="宋体" w:hAnsi="宋体" w:eastAsia="宋体" w:cs="宋体"/>
          <w:sz w:val="18"/>
          <w:szCs w:val="18"/>
        </w:rPr>
        <w:t>《产品说明书》“第二条 理财产品基本情况”</w:t>
      </w:r>
      <w:r>
        <w:rPr>
          <w:rFonts w:hint="eastAsia" w:ascii="宋体" w:hAnsi="宋体" w:eastAsia="宋体" w:cs="宋体"/>
          <w:bCs/>
          <w:sz w:val="18"/>
          <w:szCs w:val="18"/>
        </w:rPr>
        <w:t>为准</w:t>
      </w:r>
      <w:r>
        <w:rPr>
          <w:rFonts w:ascii="宋体" w:hAnsi="宋体" w:cs="宋体"/>
          <w:kern w:val="0"/>
          <w:sz w:val="18"/>
          <w:szCs w:val="18"/>
        </w:rPr>
        <w:t>。</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2）申购费：</w:t>
      </w:r>
      <w:r>
        <w:rPr>
          <w:rFonts w:ascii="宋体" w:hAnsi="宋体" w:eastAsia="宋体" w:cs="宋体"/>
          <w:bCs/>
          <w:sz w:val="18"/>
          <w:szCs w:val="18"/>
        </w:rPr>
        <w:t>费率</w:t>
      </w:r>
      <w:r>
        <w:rPr>
          <w:rFonts w:hint="eastAsia" w:ascii="宋体" w:hAnsi="宋体" w:eastAsia="宋体" w:cs="宋体"/>
          <w:bCs/>
          <w:sz w:val="18"/>
          <w:szCs w:val="18"/>
        </w:rPr>
        <w:t>具体数值以</w:t>
      </w:r>
      <w:r>
        <w:rPr>
          <w:rFonts w:hint="eastAsia" w:ascii="宋体" w:hAnsi="宋体" w:eastAsia="宋体" w:cs="宋体"/>
          <w:sz w:val="18"/>
          <w:szCs w:val="18"/>
        </w:rPr>
        <w:t>《产品说明书》“第二条 理财产品基本情况”</w:t>
      </w:r>
      <w:r>
        <w:rPr>
          <w:rFonts w:hint="eastAsia" w:ascii="宋体" w:hAnsi="宋体" w:eastAsia="宋体" w:cs="宋体"/>
          <w:bCs/>
          <w:sz w:val="18"/>
          <w:szCs w:val="18"/>
        </w:rPr>
        <w:t>为准</w:t>
      </w:r>
      <w:r>
        <w:rPr>
          <w:rFonts w:hint="eastAsia" w:ascii="宋体" w:hAnsi="宋体" w:cs="宋体"/>
          <w:kern w:val="0"/>
          <w:sz w:val="18"/>
          <w:szCs w:val="18"/>
        </w:rPr>
        <w:t>。</w:t>
      </w:r>
    </w:p>
    <w:p>
      <w:pPr>
        <w:widowControl/>
        <w:spacing w:line="360" w:lineRule="auto"/>
        <w:ind w:firstLine="360" w:firstLineChars="200"/>
        <w:jc w:val="left"/>
        <w:rPr>
          <w:rFonts w:ascii="宋体" w:hAnsi="宋体" w:cs="宋体"/>
          <w:kern w:val="0"/>
          <w:szCs w:val="22"/>
        </w:rPr>
      </w:pPr>
      <w:r>
        <w:rPr>
          <w:rFonts w:ascii="宋体" w:hAnsi="宋体" w:cs="宋体"/>
          <w:kern w:val="0"/>
          <w:sz w:val="18"/>
          <w:szCs w:val="18"/>
        </w:rPr>
        <w:t>3</w:t>
      </w:r>
      <w:r>
        <w:rPr>
          <w:rFonts w:hint="eastAsia" w:ascii="宋体" w:hAnsi="宋体" w:cs="宋体"/>
          <w:kern w:val="0"/>
          <w:sz w:val="18"/>
          <w:szCs w:val="18"/>
        </w:rPr>
        <w:t>）赎回费：</w:t>
      </w:r>
      <w:r>
        <w:rPr>
          <w:rFonts w:ascii="宋体" w:hAnsi="宋体" w:eastAsia="宋体" w:cs="宋体"/>
          <w:bCs/>
          <w:sz w:val="18"/>
          <w:szCs w:val="18"/>
        </w:rPr>
        <w:t>费率</w:t>
      </w:r>
      <w:r>
        <w:rPr>
          <w:rFonts w:hint="eastAsia" w:ascii="宋体" w:hAnsi="宋体" w:eastAsia="宋体" w:cs="宋体"/>
          <w:bCs/>
          <w:sz w:val="18"/>
          <w:szCs w:val="18"/>
        </w:rPr>
        <w:t>具体数值以《</w:t>
      </w:r>
      <w:r>
        <w:rPr>
          <w:rFonts w:hint="eastAsia" w:ascii="宋体" w:hAnsi="宋体" w:eastAsia="宋体" w:cs="宋体"/>
          <w:sz w:val="18"/>
          <w:szCs w:val="18"/>
        </w:rPr>
        <w:t>产品说明书》“第二条 理财产品基本情况”</w:t>
      </w:r>
      <w:r>
        <w:rPr>
          <w:rFonts w:hint="eastAsia" w:ascii="宋体" w:hAnsi="宋体" w:eastAsia="宋体" w:cs="宋体"/>
          <w:bCs/>
          <w:sz w:val="18"/>
          <w:szCs w:val="18"/>
        </w:rPr>
        <w:t>为准</w:t>
      </w:r>
      <w:r>
        <w:rPr>
          <w:rFonts w:hint="eastAsia" w:ascii="宋体" w:hAnsi="宋体" w:cs="宋体"/>
          <w:kern w:val="0"/>
          <w:sz w:val="18"/>
          <w:szCs w:val="18"/>
        </w:rPr>
        <w:t>。</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理财产品的销售服务费</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H＝E×销售服务费年费率÷</w:t>
      </w:r>
      <w:r>
        <w:rPr>
          <w:rFonts w:hint="eastAsia" w:ascii="宋体" w:hAnsi="宋体" w:cs="宋体"/>
          <w:kern w:val="0"/>
          <w:sz w:val="18"/>
          <w:szCs w:val="18"/>
        </w:rPr>
        <w:t>3</w:t>
      </w:r>
      <w:r>
        <w:rPr>
          <w:rFonts w:ascii="宋体" w:hAnsi="宋体" w:cs="宋体"/>
          <w:kern w:val="0"/>
          <w:sz w:val="18"/>
          <w:szCs w:val="18"/>
        </w:rPr>
        <w:t>65</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H为每日应计提的销售服务费</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E为前一日的理财资产净值</w:t>
      </w:r>
    </w:p>
    <w:p>
      <w:pPr>
        <w:widowControl w:val="0"/>
        <w:autoSpaceDE w:val="0"/>
        <w:autoSpaceDN w:val="0"/>
        <w:adjustRightInd w:val="0"/>
        <w:spacing w:line="360" w:lineRule="auto"/>
        <w:ind w:firstLine="360" w:firstLineChars="200"/>
        <w:rPr>
          <w:rFonts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bidi="ar-SA"/>
        </w:rPr>
        <w:t>销售服务费依照上述约定，从理财财产中支付。</w:t>
      </w:r>
      <w:r>
        <w:rPr>
          <w:rFonts w:hint="eastAsia" w:ascii="宋体" w:hAnsi="宋体" w:eastAsia="宋体" w:cs="宋体"/>
          <w:color w:val="auto"/>
          <w:kern w:val="2"/>
          <w:sz w:val="18"/>
          <w:szCs w:val="18"/>
          <w:lang w:val="en-US" w:eastAsia="zh-CN" w:bidi="ar-SA"/>
        </w:rPr>
        <w:t>费率具体数值以</w:t>
      </w:r>
      <w:r>
        <w:rPr>
          <w:rFonts w:hint="eastAsia" w:ascii="宋体" w:hAnsi="宋体" w:eastAsia="宋体" w:cs="宋体"/>
          <w:color w:val="auto"/>
          <w:sz w:val="18"/>
          <w:szCs w:val="18"/>
          <w:lang w:val="en-US" w:eastAsia="zh-CN" w:bidi="ar-SA"/>
        </w:rPr>
        <w:t>《产品说明书》“第二条 理财产品基本情况”</w:t>
      </w:r>
      <w:r>
        <w:rPr>
          <w:rFonts w:hint="eastAsia" w:ascii="宋体" w:hAnsi="宋体" w:eastAsia="宋体" w:cs="宋体"/>
          <w:color w:val="auto"/>
          <w:kern w:val="2"/>
          <w:sz w:val="18"/>
          <w:szCs w:val="18"/>
          <w:lang w:val="en-US" w:eastAsia="zh-CN" w:bidi="ar-SA"/>
        </w:rPr>
        <w:t>为准。</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3）</w:t>
      </w:r>
      <w:r>
        <w:rPr>
          <w:rFonts w:hint="eastAsia" w:ascii="宋体" w:hAnsi="宋体" w:cs="宋体"/>
          <w:kern w:val="0"/>
          <w:sz w:val="18"/>
          <w:szCs w:val="18"/>
        </w:rPr>
        <w:t>理财产品</w:t>
      </w:r>
      <w:r>
        <w:rPr>
          <w:rFonts w:ascii="宋体" w:hAnsi="宋体" w:cs="宋体"/>
          <w:kern w:val="0"/>
          <w:sz w:val="18"/>
          <w:szCs w:val="18"/>
        </w:rPr>
        <w:t>的投资管理费</w:t>
      </w:r>
    </w:p>
    <w:p>
      <w:pPr>
        <w:widowControl/>
        <w:spacing w:line="360" w:lineRule="auto"/>
        <w:ind w:firstLine="360" w:firstLineChars="200"/>
        <w:jc w:val="left"/>
        <w:rPr>
          <w:rFonts w:ascii="宋体" w:hAnsi="宋体" w:cs="宋体"/>
          <w:sz w:val="18"/>
          <w:szCs w:val="18"/>
        </w:rPr>
      </w:pPr>
      <w:r>
        <w:rPr>
          <w:rFonts w:hint="eastAsia" w:ascii="宋体" w:hAnsi="宋体" w:cs="宋体"/>
          <w:sz w:val="18"/>
          <w:szCs w:val="18"/>
        </w:rPr>
        <w:t>本产品的投资管理费按前一日理财资产净值与投资管理费每日费率每日计提。</w:t>
      </w:r>
      <w:r>
        <w:rPr>
          <w:rFonts w:hint="eastAsia" w:ascii="宋体" w:hAnsi="宋体" w:cs="宋体"/>
          <w:kern w:val="0"/>
          <w:sz w:val="18"/>
          <w:szCs w:val="18"/>
        </w:rPr>
        <w:t>投资管理费的计算方法如下：</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H＝E×</w:t>
      </w:r>
      <w:r>
        <w:rPr>
          <w:rFonts w:hint="eastAsia" w:ascii="宋体" w:hAnsi="宋体" w:cs="宋体"/>
          <w:kern w:val="0"/>
          <w:sz w:val="18"/>
          <w:szCs w:val="18"/>
        </w:rPr>
        <w:t>投资管理费</w:t>
      </w:r>
      <w:r>
        <w:rPr>
          <w:rFonts w:ascii="宋体" w:hAnsi="宋体" w:cs="宋体"/>
          <w:kern w:val="0"/>
          <w:sz w:val="18"/>
          <w:szCs w:val="18"/>
        </w:rPr>
        <w:t>年费率÷</w:t>
      </w:r>
      <w:r>
        <w:rPr>
          <w:rFonts w:hint="eastAsia" w:ascii="宋体" w:hAnsi="宋体" w:cs="宋体"/>
          <w:kern w:val="0"/>
          <w:sz w:val="18"/>
          <w:szCs w:val="18"/>
        </w:rPr>
        <w:t>3</w:t>
      </w:r>
      <w:r>
        <w:rPr>
          <w:rFonts w:ascii="宋体" w:hAnsi="宋体" w:cs="宋体"/>
          <w:kern w:val="0"/>
          <w:sz w:val="18"/>
          <w:szCs w:val="18"/>
        </w:rPr>
        <w:t>65</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H为每日应计提的</w:t>
      </w:r>
      <w:r>
        <w:rPr>
          <w:rFonts w:hint="eastAsia" w:ascii="宋体" w:hAnsi="宋体" w:cs="宋体"/>
          <w:kern w:val="0"/>
          <w:sz w:val="18"/>
          <w:szCs w:val="18"/>
        </w:rPr>
        <w:t>产品</w:t>
      </w:r>
      <w:r>
        <w:rPr>
          <w:rFonts w:ascii="宋体" w:hAnsi="宋体" w:cs="宋体"/>
          <w:kern w:val="0"/>
          <w:sz w:val="18"/>
          <w:szCs w:val="18"/>
        </w:rPr>
        <w:t>投资管理费</w:t>
      </w:r>
    </w:p>
    <w:p>
      <w:pPr>
        <w:widowControl/>
        <w:spacing w:line="360" w:lineRule="auto"/>
        <w:ind w:firstLine="360" w:firstLineChars="200"/>
        <w:jc w:val="left"/>
        <w:rPr>
          <w:rFonts w:ascii="宋体" w:hAnsi="宋体" w:cs="宋体"/>
          <w:kern w:val="0"/>
          <w:sz w:val="18"/>
          <w:szCs w:val="18"/>
        </w:rPr>
      </w:pPr>
      <w:r>
        <w:rPr>
          <w:rFonts w:ascii="宋体" w:hAnsi="宋体" w:cs="宋体"/>
          <w:kern w:val="0"/>
          <w:sz w:val="18"/>
          <w:szCs w:val="18"/>
        </w:rPr>
        <w:t>E为前一日的理财资产净值</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投资管理费依照上述约定，从理财财产中支付。</w:t>
      </w:r>
      <w:r>
        <w:rPr>
          <w:rFonts w:hint="eastAsia" w:ascii="宋体" w:hAnsi="宋体" w:eastAsia="宋体" w:cs="宋体"/>
          <w:sz w:val="18"/>
          <w:szCs w:val="18"/>
        </w:rPr>
        <w:t>费率具体数值以《产品说明书》“第二条 理财产品基本情况”为准</w:t>
      </w:r>
      <w:r>
        <w:rPr>
          <w:rFonts w:hint="eastAsia" w:ascii="宋体" w:hAnsi="宋体" w:cs="宋体"/>
          <w:kern w:val="0"/>
          <w:sz w:val="18"/>
          <w:szCs w:val="18"/>
        </w:rPr>
        <w:t>。</w:t>
      </w:r>
    </w:p>
    <w:p>
      <w:pPr>
        <w:widowControl/>
        <w:spacing w:line="360" w:lineRule="auto"/>
        <w:ind w:firstLine="360" w:firstLineChars="200"/>
        <w:jc w:val="left"/>
        <w:rPr>
          <w:rFonts w:ascii="宋体" w:hAnsi="宋体" w:cs="宋体"/>
          <w:kern w:val="0"/>
          <w:sz w:val="18"/>
          <w:szCs w:val="18"/>
        </w:rPr>
      </w:pPr>
      <w:r>
        <w:rPr>
          <w:rFonts w:ascii="宋体" w:hAnsi="宋体" w:cs="宋体"/>
          <w:kern w:val="0"/>
          <w:sz w:val="18"/>
          <w:szCs w:val="18"/>
        </w:rPr>
        <w:t>（4）超额业绩报酬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cs="宋体"/>
          <w:color w:val="000000"/>
          <w:kern w:val="0"/>
          <w:sz w:val="18"/>
          <w:szCs w:val="18"/>
        </w:rPr>
        <w:t>业绩报酬计提基准</w:t>
      </w:r>
      <w:r>
        <w:rPr>
          <w:rFonts w:hint="eastAsia" w:ascii="宋体" w:hAnsi="宋体" w:eastAsia="宋体" w:cs="宋体"/>
          <w:sz w:val="18"/>
          <w:szCs w:val="18"/>
        </w:rPr>
        <w:t>，则产品管理人收取超出部分的一定比例作为超额业绩报酬。</w:t>
      </w:r>
      <w:r>
        <w:rPr>
          <w:rFonts w:hint="eastAsia" w:ascii="黑体" w:hAnsi="黑体" w:eastAsia="黑体" w:cs="宋体"/>
          <w:sz w:val="18"/>
          <w:szCs w:val="18"/>
        </w:rPr>
        <w:t>★</w:t>
      </w:r>
      <w:r>
        <w:rPr>
          <w:rFonts w:hint="eastAsia" w:ascii="宋体" w:hAnsi="宋体" w:eastAsia="宋体" w:cs="宋体"/>
          <w:sz w:val="18"/>
          <w:szCs w:val="18"/>
        </w:rPr>
        <w:t>由此造成超额业绩报酬计提日产品份额净值调整的，以调整后的数值为准进行利益分配。</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业绩报酬计提基准的设置、超额业绩报酬的具体比例数值以《</w:t>
      </w:r>
      <w:r>
        <w:rPr>
          <w:rFonts w:hint="eastAsia" w:ascii="宋体" w:hAnsi="宋体" w:eastAsia="宋体" w:cs="宋体"/>
          <w:bCs/>
          <w:sz w:val="18"/>
          <w:szCs w:val="18"/>
        </w:rPr>
        <w:t>产品说明</w:t>
      </w:r>
      <w:r>
        <w:rPr>
          <w:rFonts w:hint="eastAsia" w:ascii="宋体" w:hAnsi="宋体" w:eastAsia="宋体" w:cs="宋体"/>
          <w:sz w:val="18"/>
          <w:szCs w:val="18"/>
        </w:rPr>
        <w:t>书》“第二条 理财产品基本情况”为准。</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1）收取超额业绩报酬的原则：</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①按投资者每</w:t>
      </w:r>
      <w:r>
        <w:rPr>
          <w:rFonts w:ascii="宋体" w:hAnsi="宋体" w:eastAsia="宋体" w:cs="宋体"/>
          <w:sz w:val="18"/>
          <w:szCs w:val="18"/>
        </w:rPr>
        <w:t>份</w:t>
      </w:r>
      <w:r>
        <w:rPr>
          <w:rFonts w:hint="eastAsia" w:ascii="宋体" w:hAnsi="宋体" w:eastAsia="宋体" w:cs="宋体"/>
          <w:sz w:val="18"/>
          <w:szCs w:val="18"/>
        </w:rPr>
        <w:t>产品份额分别计算年化收益率并计提超额业绩报酬；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③在投资者提出赎回申请的产品份额所对应的赎回日提取超额业绩报酬的，超额业绩报酬从赎回资金中扣除；在产品终止日提取超额业绩报酬的，超额业绩报酬从清算资金中扣除；</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2）超额业绩报酬计提方法</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①超额业绩报酬计提起始日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每</w:t>
      </w:r>
      <w:r>
        <w:rPr>
          <w:rFonts w:ascii="宋体" w:hAnsi="宋体" w:eastAsia="宋体" w:cs="宋体"/>
          <w:sz w:val="18"/>
          <w:szCs w:val="18"/>
        </w:rPr>
        <w:t>份</w:t>
      </w:r>
      <w:r>
        <w:rPr>
          <w:rFonts w:hint="eastAsia" w:ascii="宋体" w:hAnsi="宋体" w:eastAsia="宋体" w:cs="宋体"/>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②超额业绩报酬计提日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每</w:t>
      </w:r>
      <w:r>
        <w:rPr>
          <w:rFonts w:ascii="宋体" w:hAnsi="宋体" w:eastAsia="宋体" w:cs="宋体"/>
          <w:sz w:val="18"/>
          <w:szCs w:val="18"/>
        </w:rPr>
        <w:t>份</w:t>
      </w:r>
      <w:r>
        <w:rPr>
          <w:rFonts w:hint="eastAsia" w:ascii="宋体" w:hAnsi="宋体" w:eastAsia="宋体" w:cs="宋体"/>
          <w:sz w:val="18"/>
          <w:szCs w:val="18"/>
        </w:rPr>
        <w:t>产品份额超额业绩报酬计提日为投资者提出赎回申请的产品份额所对应的赎回日或产品终止日。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③超额业绩报酬的计算</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产品管理人对每</w:t>
      </w:r>
      <w:r>
        <w:rPr>
          <w:rFonts w:ascii="宋体" w:hAnsi="宋体" w:eastAsia="宋体" w:cs="宋体"/>
          <w:sz w:val="18"/>
          <w:szCs w:val="18"/>
        </w:rPr>
        <w:t>份</w:t>
      </w:r>
      <w:r>
        <w:rPr>
          <w:rFonts w:hint="eastAsia" w:ascii="宋体" w:hAnsi="宋体" w:eastAsia="宋体" w:cs="宋体"/>
          <w:sz w:val="18"/>
          <w:szCs w:val="18"/>
        </w:rPr>
        <w:t>份额当前年化收益率（R）超过当前</w:t>
      </w:r>
      <w:r>
        <w:rPr>
          <w:rFonts w:hint="eastAsia" w:ascii="宋体" w:hAnsi="Times New Roman" w:cs="宋体"/>
          <w:color w:val="000000"/>
          <w:kern w:val="0"/>
          <w:sz w:val="18"/>
          <w:szCs w:val="18"/>
        </w:rPr>
        <w:t>业绩报酬计提基准</w:t>
      </w:r>
      <w:r>
        <w:rPr>
          <w:rFonts w:hint="eastAsia" w:ascii="宋体" w:hAnsi="宋体" w:eastAsia="宋体" w:cs="宋体"/>
          <w:sz w:val="18"/>
          <w:szCs w:val="18"/>
        </w:rPr>
        <w:t>的部分，按比例（N）以及产品份额持有天数（D）提取超额业绩报酬，计算方法如下：</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当R≤当前</w:t>
      </w:r>
      <w:r>
        <w:rPr>
          <w:rFonts w:hint="eastAsia" w:ascii="宋体" w:hAnsi="Times New Roman" w:cs="宋体"/>
          <w:color w:val="000000"/>
          <w:kern w:val="0"/>
          <w:sz w:val="18"/>
          <w:szCs w:val="18"/>
        </w:rPr>
        <w:t>业绩报酬计提基准</w:t>
      </w:r>
      <w:r>
        <w:rPr>
          <w:rFonts w:hint="eastAsia" w:ascii="宋体" w:hAnsi="宋体" w:eastAsia="宋体" w:cs="宋体"/>
          <w:sz w:val="18"/>
          <w:szCs w:val="18"/>
        </w:rPr>
        <w:t>，超额业绩报酬=0；</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当R＞当前</w:t>
      </w:r>
      <w:r>
        <w:rPr>
          <w:rFonts w:hint="eastAsia" w:ascii="宋体" w:hAnsi="Times New Roman" w:cs="宋体"/>
          <w:color w:val="000000"/>
          <w:kern w:val="0"/>
          <w:sz w:val="18"/>
          <w:szCs w:val="18"/>
        </w:rPr>
        <w:t>业绩报酬计提基准</w:t>
      </w:r>
      <w:r>
        <w:rPr>
          <w:rFonts w:hint="eastAsia" w:ascii="宋体" w:hAnsi="宋体" w:eastAsia="宋体" w:cs="宋体"/>
          <w:sz w:val="18"/>
          <w:szCs w:val="18"/>
        </w:rPr>
        <w:t>，超额业绩报酬=赎回的产品份额或产品终止时投资者持有的产品份额×产品成立日或产品份额申购日的产品份额净值×（R-当前</w:t>
      </w:r>
      <w:r>
        <w:rPr>
          <w:rFonts w:hint="eastAsia" w:ascii="宋体" w:hAnsi="Times New Roman" w:cs="宋体"/>
          <w:color w:val="000000"/>
          <w:kern w:val="0"/>
          <w:sz w:val="18"/>
          <w:szCs w:val="18"/>
        </w:rPr>
        <w:t>业绩报酬计提基准</w:t>
      </w:r>
      <w:r>
        <w:rPr>
          <w:rFonts w:hint="eastAsia" w:ascii="宋体" w:hAnsi="宋体" w:eastAsia="宋体" w:cs="宋体"/>
          <w:sz w:val="18"/>
          <w:szCs w:val="18"/>
        </w:rPr>
        <w:t>）×N×D/365。</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）理财产品</w:t>
      </w:r>
      <w:r>
        <w:rPr>
          <w:rFonts w:ascii="宋体" w:hAnsi="宋体" w:cs="宋体"/>
          <w:kern w:val="0"/>
          <w:sz w:val="18"/>
          <w:szCs w:val="18"/>
        </w:rPr>
        <w:t>的</w:t>
      </w:r>
      <w:r>
        <w:rPr>
          <w:rFonts w:hint="eastAsia" w:ascii="宋体" w:hAnsi="宋体" w:cs="宋体"/>
          <w:kern w:val="0"/>
          <w:sz w:val="18"/>
          <w:szCs w:val="18"/>
        </w:rPr>
        <w:t>产品</w:t>
      </w:r>
      <w:r>
        <w:rPr>
          <w:rFonts w:ascii="宋体" w:hAnsi="宋体" w:cs="宋体"/>
          <w:kern w:val="0"/>
          <w:sz w:val="18"/>
          <w:szCs w:val="18"/>
        </w:rPr>
        <w:t>托管费</w:t>
      </w:r>
    </w:p>
    <w:p>
      <w:pPr>
        <w:widowControl/>
        <w:spacing w:line="360" w:lineRule="auto"/>
        <w:ind w:firstLine="360" w:firstLineChars="200"/>
        <w:jc w:val="left"/>
        <w:rPr>
          <w:rFonts w:ascii="宋体" w:hAnsi="宋体" w:cs="宋体"/>
          <w:sz w:val="18"/>
          <w:szCs w:val="18"/>
        </w:rPr>
      </w:pPr>
      <w:r>
        <w:rPr>
          <w:rFonts w:hint="eastAsia" w:ascii="宋体" w:hAnsi="宋体" w:cs="宋体"/>
          <w:sz w:val="18"/>
          <w:szCs w:val="18"/>
        </w:rPr>
        <w:t>本产品的产品</w:t>
      </w:r>
      <w:r>
        <w:rPr>
          <w:rFonts w:ascii="宋体" w:hAnsi="宋体" w:cs="宋体"/>
          <w:sz w:val="18"/>
          <w:szCs w:val="18"/>
        </w:rPr>
        <w:t>托管</w:t>
      </w:r>
      <w:r>
        <w:rPr>
          <w:rFonts w:hint="eastAsia" w:ascii="宋体" w:hAnsi="宋体" w:cs="宋体"/>
          <w:sz w:val="18"/>
          <w:szCs w:val="18"/>
        </w:rPr>
        <w:t>费按前一日理财资产净值与产品</w:t>
      </w:r>
      <w:r>
        <w:rPr>
          <w:rFonts w:ascii="宋体" w:hAnsi="宋体" w:cs="宋体"/>
          <w:sz w:val="18"/>
          <w:szCs w:val="18"/>
        </w:rPr>
        <w:t>托管</w:t>
      </w:r>
      <w:r>
        <w:rPr>
          <w:rFonts w:hint="eastAsia" w:ascii="宋体" w:hAnsi="宋体" w:cs="宋体"/>
          <w:sz w:val="18"/>
          <w:szCs w:val="18"/>
        </w:rPr>
        <w:t>费每日费率每日计提。</w:t>
      </w:r>
      <w:r>
        <w:rPr>
          <w:rFonts w:hint="eastAsia" w:ascii="宋体" w:hAnsi="宋体" w:cs="宋体"/>
          <w:kern w:val="0"/>
          <w:sz w:val="18"/>
          <w:szCs w:val="18"/>
        </w:rPr>
        <w:t>产品</w:t>
      </w:r>
      <w:r>
        <w:rPr>
          <w:rFonts w:ascii="宋体" w:hAnsi="宋体" w:cs="宋体"/>
          <w:kern w:val="0"/>
          <w:sz w:val="18"/>
          <w:szCs w:val="18"/>
        </w:rPr>
        <w:t>托管费的计算方法如下：</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H＝E×</w:t>
      </w:r>
      <w:r>
        <w:rPr>
          <w:rFonts w:hint="eastAsia" w:ascii="宋体" w:hAnsi="宋体" w:cs="宋体"/>
          <w:kern w:val="0"/>
          <w:sz w:val="18"/>
          <w:szCs w:val="18"/>
        </w:rPr>
        <w:t>产品托管费</w:t>
      </w:r>
      <w:r>
        <w:rPr>
          <w:rFonts w:ascii="宋体" w:hAnsi="宋体" w:cs="宋体"/>
          <w:kern w:val="0"/>
          <w:sz w:val="18"/>
          <w:szCs w:val="18"/>
        </w:rPr>
        <w:t>年费率÷</w:t>
      </w:r>
      <w:r>
        <w:rPr>
          <w:rFonts w:hint="eastAsia" w:ascii="宋体" w:hAnsi="宋体" w:cs="宋体"/>
          <w:kern w:val="0"/>
          <w:sz w:val="18"/>
          <w:szCs w:val="18"/>
        </w:rPr>
        <w:t>3</w:t>
      </w:r>
      <w:r>
        <w:rPr>
          <w:rFonts w:ascii="宋体" w:hAnsi="宋体" w:cs="宋体"/>
          <w:kern w:val="0"/>
          <w:sz w:val="18"/>
          <w:szCs w:val="18"/>
        </w:rPr>
        <w:t>65</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H为每日应计提的</w:t>
      </w:r>
      <w:r>
        <w:rPr>
          <w:rFonts w:hint="eastAsia" w:ascii="宋体" w:hAnsi="宋体" w:cs="宋体"/>
          <w:kern w:val="0"/>
          <w:sz w:val="18"/>
          <w:szCs w:val="18"/>
        </w:rPr>
        <w:t>产品</w:t>
      </w:r>
      <w:r>
        <w:rPr>
          <w:rFonts w:ascii="宋体" w:hAnsi="宋体" w:cs="宋体"/>
          <w:kern w:val="0"/>
          <w:sz w:val="18"/>
          <w:szCs w:val="18"/>
        </w:rPr>
        <w:t>托管费</w:t>
      </w:r>
    </w:p>
    <w:p>
      <w:pPr>
        <w:widowControl/>
        <w:spacing w:line="360" w:lineRule="auto"/>
        <w:ind w:firstLine="360" w:firstLineChars="200"/>
        <w:jc w:val="left"/>
        <w:rPr>
          <w:rFonts w:ascii="宋体" w:hAnsi="宋体" w:cs="宋体"/>
          <w:sz w:val="18"/>
          <w:szCs w:val="18"/>
        </w:rPr>
      </w:pPr>
      <w:r>
        <w:rPr>
          <w:rFonts w:ascii="宋体" w:hAnsi="宋体" w:cs="宋体"/>
          <w:kern w:val="0"/>
          <w:sz w:val="18"/>
          <w:szCs w:val="18"/>
        </w:rPr>
        <w:t>E为前一日的理财资产净值</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产品托管费依照上述约定，从理财财产中支付。</w:t>
      </w:r>
      <w:r>
        <w:rPr>
          <w:rFonts w:hint="eastAsia" w:ascii="宋体" w:hAnsi="宋体" w:eastAsia="宋体" w:cs="宋体"/>
          <w:sz w:val="18"/>
          <w:szCs w:val="18"/>
        </w:rPr>
        <w:t>费率具体数值以《产品说明书》“第二条 理财产品基本情况”为准。</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w:t>
      </w:r>
      <w:r>
        <w:rPr>
          <w:rFonts w:ascii="宋体" w:hAnsi="宋体" w:cs="宋体"/>
          <w:kern w:val="0"/>
          <w:sz w:val="18"/>
          <w:szCs w:val="18"/>
        </w:rPr>
        <w:t>上述</w:t>
      </w:r>
      <w:r>
        <w:rPr>
          <w:rFonts w:hint="eastAsia" w:ascii="宋体" w:hAnsi="宋体" w:cs="宋体"/>
          <w:kern w:val="0"/>
          <w:sz w:val="18"/>
          <w:szCs w:val="18"/>
        </w:rPr>
        <w:t>理财产品的证券交易费用</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按费用实际支出金额列入当期费用，从理财财产中支付。</w:t>
      </w:r>
    </w:p>
    <w:p>
      <w:pPr>
        <w:widowControl/>
        <w:spacing w:line="360" w:lineRule="auto"/>
        <w:ind w:firstLine="360" w:firstLineChars="200"/>
        <w:jc w:val="left"/>
        <w:rPr>
          <w:rFonts w:ascii="宋体" w:hAnsi="宋体" w:cs="宋体"/>
          <w:sz w:val="18"/>
          <w:szCs w:val="18"/>
        </w:rPr>
      </w:pPr>
      <w:r>
        <w:rPr>
          <w:rFonts w:hint="eastAsia" w:ascii="宋体" w:hAnsi="宋体" w:cs="宋体"/>
          <w:kern w:val="0"/>
          <w:sz w:val="18"/>
          <w:szCs w:val="18"/>
        </w:rPr>
        <w:t>（</w:t>
      </w:r>
      <w:r>
        <w:rPr>
          <w:rFonts w:ascii="宋体" w:hAnsi="宋体" w:cs="宋体"/>
          <w:kern w:val="0"/>
          <w:sz w:val="18"/>
          <w:szCs w:val="18"/>
        </w:rPr>
        <w:t>7）上述</w:t>
      </w:r>
      <w:r>
        <w:rPr>
          <w:rFonts w:hint="eastAsia" w:ascii="宋体" w:hAnsi="宋体" w:cs="宋体"/>
          <w:kern w:val="0"/>
          <w:sz w:val="18"/>
          <w:szCs w:val="18"/>
        </w:rPr>
        <w:t>理财产品</w:t>
      </w:r>
      <w:r>
        <w:rPr>
          <w:rFonts w:ascii="宋体" w:hAnsi="宋体" w:cs="宋体"/>
          <w:kern w:val="0"/>
          <w:sz w:val="18"/>
          <w:szCs w:val="18"/>
        </w:rPr>
        <w:t>验资费、审计费、律师费、信息披露费、</w:t>
      </w:r>
      <w:r>
        <w:rPr>
          <w:rFonts w:hint="eastAsia" w:ascii="宋体" w:hAnsi="宋体" w:cs="宋体"/>
          <w:kern w:val="0"/>
          <w:sz w:val="18"/>
          <w:szCs w:val="18"/>
        </w:rPr>
        <w:t>清算费、</w:t>
      </w:r>
      <w:r>
        <w:rPr>
          <w:rFonts w:ascii="宋体" w:hAnsi="宋体" w:cs="宋体"/>
          <w:kern w:val="0"/>
          <w:sz w:val="18"/>
          <w:szCs w:val="18"/>
        </w:rPr>
        <w:t>执行费用等相关费用</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按费用实际支出金额列入当期费用，从理财财产中支付。产品管理人因处理上述事务而先行垫付上述</w:t>
      </w:r>
      <w:r>
        <w:rPr>
          <w:rFonts w:ascii="宋体" w:hAnsi="宋体" w:cs="宋体"/>
          <w:kern w:val="0"/>
          <w:sz w:val="18"/>
          <w:szCs w:val="18"/>
        </w:rPr>
        <w:t>费用</w:t>
      </w:r>
      <w:r>
        <w:rPr>
          <w:rFonts w:hint="eastAsia" w:ascii="宋体" w:hAnsi="宋体" w:cs="宋体"/>
          <w:kern w:val="0"/>
          <w:sz w:val="18"/>
          <w:szCs w:val="18"/>
        </w:rPr>
        <w:t>的，管理人有权从理财产品资产中优先受偿。</w:t>
      </w:r>
    </w:p>
    <w:p>
      <w:pPr>
        <w:widowControl w:val="0"/>
        <w:autoSpaceDE w:val="0"/>
        <w:autoSpaceDN w:val="0"/>
        <w:adjustRightInd w:val="0"/>
        <w:spacing w:line="360" w:lineRule="auto"/>
        <w:ind w:firstLine="360" w:firstLineChars="200"/>
        <w:rPr>
          <w:rFonts w:ascii="黑体" w:hAnsi="黑体" w:eastAsia="黑体" w:cs="宋体"/>
          <w:color w:val="auto"/>
          <w:sz w:val="18"/>
          <w:szCs w:val="24"/>
          <w:lang w:val="en-US" w:eastAsia="zh-CN" w:bidi="ar-SA"/>
        </w:rPr>
      </w:pPr>
      <w:r>
        <w:rPr>
          <w:rFonts w:ascii="黑体" w:hAnsi="黑体" w:eastAsia="黑体" w:cs="宋体"/>
          <w:color w:val="auto"/>
          <w:sz w:val="18"/>
          <w:szCs w:val="24"/>
          <w:lang w:val="en-US" w:eastAsia="zh-CN" w:bidi="ar-SA"/>
        </w:rPr>
        <w:t>3.</w:t>
      </w:r>
      <w:r>
        <w:rPr>
          <w:rFonts w:ascii="宋体" w:hAnsi="宋体" w:eastAsia="宋体" w:cs="宋体"/>
          <w:color w:val="auto"/>
          <w:sz w:val="18"/>
          <w:szCs w:val="18"/>
          <w:lang w:val="en-US" w:eastAsia="zh-CN" w:bidi="ar-SA"/>
        </w:rPr>
        <w:t>★</w:t>
      </w:r>
      <w:r>
        <w:rPr>
          <w:rFonts w:hint="eastAsia" w:ascii="黑体" w:hAnsi="黑体" w:eastAsia="黑体" w:cs="宋体"/>
          <w:color w:val="auto"/>
          <w:sz w:val="18"/>
          <w:szCs w:val="18"/>
          <w:lang w:val="en-US" w:eastAsia="zh-CN" w:bidi="ar-SA"/>
        </w:rPr>
        <w:t>理财产品费用</w:t>
      </w:r>
      <w:r>
        <w:rPr>
          <w:rFonts w:hint="eastAsia" w:ascii="黑体" w:hAnsi="黑体" w:eastAsia="黑体" w:cs="宋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ascii="黑体" w:hAnsi="黑体" w:eastAsia="黑体" w:cs="宋体"/>
          <w:color w:val="auto"/>
          <w:sz w:val="18"/>
          <w:szCs w:val="24"/>
          <w:lang w:val="en-US" w:eastAsia="zh-CN" w:bidi="ar-SA"/>
        </w:rPr>
      </w:pPr>
      <w:r>
        <w:rPr>
          <w:rFonts w:hint="eastAsia" w:ascii="黑体" w:hAnsi="黑体" w:eastAsia="黑体" w:cs="宋体"/>
          <w:color w:val="auto"/>
          <w:sz w:val="18"/>
          <w:szCs w:val="24"/>
          <w:lang w:val="en-US" w:eastAsia="zh-CN" w:bidi="ar-SA"/>
        </w:rPr>
        <w:t>（1）发生巨额赎回时，为保护投资者利益，产品管理人有权对赎回日至赎回确认日之间的各项费用进行减免。</w:t>
      </w:r>
    </w:p>
    <w:p>
      <w:pPr>
        <w:widowControl w:val="0"/>
        <w:autoSpaceDE w:val="0"/>
        <w:autoSpaceDN w:val="0"/>
        <w:adjustRightInd w:val="0"/>
        <w:spacing w:line="360" w:lineRule="auto"/>
        <w:ind w:firstLine="360" w:firstLineChars="200"/>
        <w:rPr>
          <w:rFonts w:ascii="黑体" w:hAnsi="黑体" w:eastAsia="黑体" w:cs="宋体"/>
          <w:b/>
          <w:color w:val="auto"/>
          <w:sz w:val="18"/>
          <w:szCs w:val="24"/>
          <w:lang w:val="en-US" w:eastAsia="zh-CN" w:bidi="ar-SA"/>
        </w:rPr>
      </w:pPr>
      <w:r>
        <w:rPr>
          <w:rFonts w:hint="eastAsia" w:ascii="黑体" w:hAnsi="黑体" w:eastAsia="黑体" w:cs="宋体"/>
          <w:color w:val="auto"/>
          <w:sz w:val="18"/>
          <w:szCs w:val="24"/>
          <w:lang w:val="en-US" w:eastAsia="zh-CN" w:bidi="ar-SA"/>
        </w:rPr>
        <w:t>（2）产品管理人有权</w:t>
      </w:r>
      <w:r>
        <w:rPr>
          <w:rFonts w:hint="eastAsia" w:ascii="黑体" w:hAnsi="黑体" w:eastAsia="黑体" w:cs="宋体"/>
          <w:color w:val="auto"/>
          <w:sz w:val="18"/>
          <w:szCs w:val="18"/>
          <w:lang w:val="en-US" w:eastAsia="zh-CN" w:bidi="ar-SA"/>
        </w:rPr>
        <w:t>根据相关法律和国家政策规定，</w:t>
      </w:r>
      <w:r>
        <w:rPr>
          <w:rFonts w:hint="eastAsia" w:ascii="黑体" w:hAnsi="黑体" w:eastAsia="黑体" w:cs="宋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宋体"/>
          <w:bCs/>
          <w:color w:val="auto"/>
          <w:sz w:val="18"/>
          <w:szCs w:val="24"/>
          <w:lang w:val="en-US" w:eastAsia="zh-CN" w:bidi="ar-SA"/>
        </w:rPr>
        <w:t>将依约定进行公告。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229" w:name="_Toc3963"/>
      <w:bookmarkStart w:id="230" w:name="_Toc1745"/>
      <w:r>
        <w:rPr>
          <w:rFonts w:ascii="Calibri" w:hAnsi="Calibri" w:eastAsia="宋体" w:cs="宋体"/>
          <w:b/>
          <w:bCs/>
          <w:kern w:val="44"/>
          <w:sz w:val="44"/>
          <w:szCs w:val="44"/>
          <w:lang w:val="en-US" w:eastAsia="zh-CN" w:bidi="ar-SA"/>
        </w:rPr>
        <w:br w:type="page"/>
      </w:r>
      <w:bookmarkStart w:id="231" w:name="_Toc10398"/>
      <w:bookmarkStart w:id="232" w:name="_Toc18206"/>
      <w:bookmarkStart w:id="233" w:name="_Toc25397"/>
      <w:bookmarkStart w:id="234" w:name="_Toc16164"/>
      <w:bookmarkStart w:id="235" w:name="_Toc123051455"/>
      <w:bookmarkStart w:id="236" w:name="_Toc139991739"/>
      <w:bookmarkStart w:id="237" w:name="_Toc141703889"/>
      <w:bookmarkStart w:id="238" w:name="_Toc21735"/>
      <w:bookmarkStart w:id="239" w:name="_Toc74065746"/>
      <w:bookmarkStart w:id="240" w:name="_Toc3080"/>
      <w:bookmarkStart w:id="241" w:name="_Toc92377139"/>
      <w:bookmarkStart w:id="242" w:name="_Toc79154673"/>
      <w:bookmarkStart w:id="243" w:name="_Toc725"/>
      <w:bookmarkStart w:id="244" w:name="_Toc123102456"/>
      <w:bookmarkStart w:id="245" w:name="_Toc5388"/>
      <w:bookmarkStart w:id="246" w:name="_Toc3572"/>
      <w:bookmarkStart w:id="247" w:name="_Toc98560355"/>
      <w:bookmarkStart w:id="248" w:name="_Toc2757"/>
      <w:bookmarkStart w:id="249" w:name="_Toc123112237"/>
      <w:bookmarkStart w:id="250" w:name="_Toc31821"/>
      <w:r>
        <w:rPr>
          <w:rFonts w:hint="eastAsia" w:ascii="Calibri" w:hAnsi="Calibri" w:eastAsia="宋体" w:cs="宋体"/>
          <w:b/>
          <w:bCs/>
          <w:kern w:val="44"/>
          <w:sz w:val="30"/>
          <w:szCs w:val="44"/>
          <w:lang w:val="en-US" w:eastAsia="zh-CN" w:bidi="ar-SA"/>
        </w:rPr>
        <w:t>第十条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spacing w:line="360" w:lineRule="auto"/>
        <w:ind w:firstLine="361" w:firstLineChars="200"/>
        <w:rPr>
          <w:rFonts w:ascii="宋体" w:hAnsi="宋体" w:eastAsia="宋体" w:cs="宋体"/>
          <w:b/>
          <w:bCs/>
          <w:sz w:val="18"/>
          <w:szCs w:val="18"/>
        </w:rPr>
      </w:pPr>
      <w:bookmarkStart w:id="251" w:name="_Toc15118245"/>
      <w:bookmarkStart w:id="252" w:name="_Toc57530252"/>
      <w:bookmarkStart w:id="253" w:name="_Toc79392593"/>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bookmarkEnd w:id="251"/>
    <w:bookmarkEnd w:id="252"/>
    <w:bookmarkEnd w:id="253"/>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理财产品部分终止日（含当日）至理财利益实际到账日之间，理财资金不计算收益。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keepNext/>
        <w:keepLines/>
        <w:widowControl w:val="0"/>
        <w:spacing w:before="0" w:after="0" w:line="360" w:lineRule="auto"/>
        <w:jc w:val="center"/>
        <w:outlineLvl w:val="0"/>
        <w:rPr>
          <w:rFonts w:ascii="Times New Roman" w:hAnsi="Calibri" w:eastAsia="宋体" w:cs="宋体"/>
          <w:b/>
          <w:bCs/>
          <w:kern w:val="44"/>
          <w:sz w:val="18"/>
          <w:szCs w:val="18"/>
          <w:lang w:val="en-US" w:eastAsia="zh-CN" w:bidi="ar-SA"/>
        </w:rPr>
      </w:pPr>
      <w:r>
        <w:rPr>
          <w:rFonts w:ascii="Times New Roman" w:hAnsi="Calibri" w:eastAsia="宋体" w:cs="宋体"/>
          <w:b w:val="0"/>
          <w:bCs w:val="0"/>
          <w:kern w:val="2"/>
          <w:sz w:val="44"/>
          <w:szCs w:val="44"/>
          <w:lang w:val="en-US" w:eastAsia="zh-CN" w:bidi="ar-SA"/>
        </w:rPr>
        <w:br w:type="page"/>
      </w:r>
      <w:bookmarkStart w:id="254" w:name="_Toc593"/>
      <w:bookmarkStart w:id="255" w:name="_Toc92377140"/>
      <w:bookmarkStart w:id="256" w:name="_Toc24268"/>
      <w:bookmarkStart w:id="257" w:name="_Toc7953"/>
      <w:bookmarkStart w:id="258" w:name="_Toc5170"/>
      <w:bookmarkStart w:id="259" w:name="_Toc29408"/>
      <w:bookmarkStart w:id="260" w:name="_Toc139991740"/>
      <w:bookmarkStart w:id="261" w:name="_Toc123051456"/>
      <w:bookmarkStart w:id="262" w:name="_Toc739"/>
      <w:bookmarkStart w:id="263" w:name="_Toc17920"/>
      <w:bookmarkStart w:id="264" w:name="_Toc74065747"/>
      <w:bookmarkStart w:id="265" w:name="_Toc8791"/>
      <w:bookmarkStart w:id="266" w:name="_Toc141703890"/>
      <w:bookmarkStart w:id="267" w:name="_Toc3329"/>
      <w:bookmarkStart w:id="268" w:name="_Toc79392622"/>
      <w:bookmarkStart w:id="269" w:name="_Toc83391975"/>
      <w:bookmarkStart w:id="270" w:name="_Toc32584"/>
      <w:bookmarkStart w:id="271" w:name="_Toc79154674"/>
      <w:bookmarkStart w:id="272" w:name="_Toc32092"/>
      <w:bookmarkStart w:id="273" w:name="_Toc98560356"/>
      <w:bookmarkStart w:id="274" w:name="_Toc17198"/>
      <w:bookmarkStart w:id="275" w:name="_Toc48649708"/>
      <w:bookmarkStart w:id="276" w:name="_Toc21237"/>
      <w:bookmarkStart w:id="277" w:name="_Toc123112238"/>
      <w:bookmarkStart w:id="278" w:name="_Toc123102457"/>
      <w:r>
        <w:rPr>
          <w:rFonts w:hint="eastAsia" w:ascii="Times New Roman" w:hAnsi="Calibri" w:eastAsia="宋体" w:cs="宋体"/>
          <w:b/>
          <w:bCs/>
          <w:kern w:val="44"/>
          <w:sz w:val="28"/>
          <w:szCs w:val="28"/>
          <w:lang w:val="en-US" w:eastAsia="zh-CN" w:bidi="ar-SA"/>
        </w:rPr>
        <w:t>第十一条</w:t>
      </w:r>
      <w:r>
        <w:rPr>
          <w:rFonts w:ascii="Times New Roman" w:hAnsi="Calibri" w:eastAsia="宋体" w:cs="宋体"/>
          <w:b/>
          <w:bCs/>
          <w:kern w:val="44"/>
          <w:sz w:val="28"/>
          <w:szCs w:val="28"/>
          <w:lang w:val="en-US" w:eastAsia="zh-CN" w:bidi="ar-SA"/>
        </w:rPr>
        <w:t xml:space="preserve">  </w:t>
      </w:r>
      <w:r>
        <w:rPr>
          <w:rFonts w:hint="eastAsia" w:ascii="Times New Roman" w:hAnsi="Calibri" w:eastAsia="宋体" w:cs="宋体"/>
          <w:b/>
          <w:bCs/>
          <w:kern w:val="44"/>
          <w:sz w:val="28"/>
          <w:szCs w:val="28"/>
          <w:lang w:val="en-US" w:eastAsia="zh-CN" w:bidi="ar-SA"/>
        </w:rPr>
        <w:t>理财产品的信息披露</w:t>
      </w:r>
      <w:bookmarkEnd w:id="254"/>
      <w:bookmarkEnd w:id="255"/>
      <w:bookmarkEnd w:id="256"/>
      <w:bookmarkEnd w:id="257"/>
    </w:p>
    <w:p>
      <w:pPr>
        <w:spacing w:line="360" w:lineRule="auto"/>
        <w:ind w:firstLine="361" w:firstLineChars="200"/>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firstLineChars="20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firstLineChars="20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w:t>
      </w:r>
      <w:r>
        <w:rPr>
          <w:rFonts w:hint="eastAsia" w:ascii="宋体" w:hAnsi="宋体" w:cs="宋体"/>
          <w:bCs/>
          <w:sz w:val="18"/>
          <w:szCs w:val="18"/>
        </w:rPr>
        <w:t>产品管理人</w:t>
      </w:r>
      <w:r>
        <w:rPr>
          <w:rFonts w:ascii="宋体" w:hAnsi="宋体" w:cs="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firstLineChars="20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firstLineChars="20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firstLineChars="200"/>
        <w:rPr>
          <w:rFonts w:ascii="宋体" w:hAnsi="宋体" w:cs="宋体"/>
          <w:bCs/>
          <w:sz w:val="18"/>
          <w:szCs w:val="18"/>
        </w:rPr>
      </w:pPr>
      <w:r>
        <w:rPr>
          <w:rFonts w:ascii="宋体" w:hAnsi="宋体" w:cs="宋体"/>
          <w:bCs/>
          <w:sz w:val="18"/>
          <w:szCs w:val="18"/>
        </w:rPr>
        <w:t>1.产品成立公告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firstLineChars="20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firstLineChars="200"/>
        <w:rPr>
          <w:rFonts w:ascii="宋体" w:hAnsi="宋体" w:cs="宋体"/>
          <w:bCs/>
          <w:sz w:val="18"/>
          <w:szCs w:val="18"/>
        </w:rPr>
      </w:pPr>
      <w:r>
        <w:rPr>
          <w:rFonts w:ascii="宋体" w:hAnsi="宋体" w:cs="宋体"/>
          <w:bCs/>
          <w:sz w:val="18"/>
          <w:szCs w:val="18"/>
        </w:rPr>
        <w:t>3.定期报告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cs="宋体"/>
          <w:bCs/>
          <w:sz w:val="18"/>
          <w:szCs w:val="18"/>
        </w:rPr>
      </w:pPr>
      <w:r>
        <w:rPr>
          <w:rFonts w:ascii="宋体" w:hAnsi="宋体" w:cs="宋体"/>
          <w:bCs/>
          <w:sz w:val="18"/>
          <w:szCs w:val="18"/>
        </w:rPr>
        <w:t>4.到期公告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firstLineChars="200"/>
        <w:rPr>
          <w:rFonts w:ascii="宋体" w:hAnsi="宋体" w:cs="宋体"/>
          <w:bCs/>
          <w:sz w:val="18"/>
          <w:szCs w:val="18"/>
        </w:rPr>
      </w:pPr>
      <w:r>
        <w:rPr>
          <w:rFonts w:ascii="宋体" w:hAnsi="宋体" w:cs="宋体"/>
          <w:bCs/>
          <w:sz w:val="18"/>
          <w:szCs w:val="18"/>
        </w:rPr>
        <w:t>5.开放日公告</w:t>
      </w:r>
    </w:p>
    <w:p>
      <w:pPr>
        <w:spacing w:line="360" w:lineRule="auto"/>
        <w:ind w:firstLine="360" w:firstLineChars="200"/>
        <w:rPr>
          <w:rFonts w:ascii="宋体" w:hAnsi="宋体" w:cs="宋体"/>
          <w:bCs/>
          <w:sz w:val="18"/>
          <w:szCs w:val="18"/>
        </w:rPr>
      </w:pPr>
      <w:r>
        <w:rPr>
          <w:rFonts w:hint="eastAsia" w:ascii="宋体" w:hAnsi="宋体" w:cs="宋体"/>
          <w:sz w:val="18"/>
          <w:szCs w:val="18"/>
        </w:rPr>
        <w:t>产品管理人</w:t>
      </w:r>
      <w:r>
        <w:rPr>
          <w:rFonts w:hint="eastAsia" w:ascii="宋体" w:hAnsi="宋体" w:cs="宋体"/>
          <w:bCs/>
          <w:sz w:val="18"/>
          <w:szCs w:val="18"/>
        </w:rPr>
        <w:t>在申购日</w:t>
      </w:r>
      <w:r>
        <w:rPr>
          <w:rFonts w:ascii="宋体" w:hAnsi="宋体" w:cs="宋体"/>
          <w:bCs/>
          <w:sz w:val="18"/>
          <w:szCs w:val="18"/>
        </w:rPr>
        <w:t>/赎回日结束后2个工作日内披露开放日公告，公告内容包括申购日/赎回日</w:t>
      </w:r>
      <w:r>
        <w:rPr>
          <w:rFonts w:hint="eastAsia" w:ascii="宋体" w:hAnsi="宋体" w:cs="宋体"/>
          <w:bCs/>
          <w:sz w:val="18"/>
          <w:szCs w:val="18"/>
        </w:rPr>
        <w:t>的产品份额净值、产品份额累计净值等。</w:t>
      </w:r>
    </w:p>
    <w:p>
      <w:pPr>
        <w:spacing w:line="360" w:lineRule="auto"/>
        <w:ind w:firstLine="360" w:firstLineChars="200"/>
        <w:rPr>
          <w:rFonts w:ascii="宋体" w:hAnsi="宋体" w:cs="宋体"/>
          <w:bCs/>
          <w:sz w:val="18"/>
          <w:szCs w:val="18"/>
        </w:rPr>
      </w:pPr>
      <w:r>
        <w:rPr>
          <w:rFonts w:hint="eastAsia" w:ascii="宋体" w:hAnsi="宋体" w:cs="宋体"/>
          <w:bCs/>
          <w:sz w:val="18"/>
          <w:szCs w:val="18"/>
        </w:rPr>
        <w:t>6</w:t>
      </w:r>
      <w:r>
        <w:rPr>
          <w:rFonts w:ascii="宋体" w:hAnsi="宋体" w:cs="宋体"/>
          <w:bCs/>
          <w:sz w:val="18"/>
          <w:szCs w:val="18"/>
        </w:rPr>
        <w:t>.估值日公告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期间，每【工作日】向投资者披露一次估值日公告，估值日公告披露的内容包括估值日的产品份额净值、产品份额累计净值等。如遇法定节假日顺延。此外，如遇其他特殊情况，以产品管理人信息披露为准。</w:t>
      </w:r>
      <w:r>
        <w:rPr>
          <w:rFonts w:ascii="宋体" w:hAnsi="宋体" w:cs="宋体"/>
          <w:bCs/>
          <w:sz w:val="18"/>
          <w:szCs w:val="18"/>
        </w:rPr>
        <w:t xml:space="preserve"> </w:t>
      </w:r>
    </w:p>
    <w:p>
      <w:pPr>
        <w:spacing w:line="360" w:lineRule="auto"/>
        <w:ind w:firstLine="360" w:firstLineChars="200"/>
        <w:rPr>
          <w:rFonts w:ascii="宋体" w:hAnsi="宋体" w:cs="宋体"/>
          <w:bCs/>
          <w:sz w:val="18"/>
          <w:szCs w:val="18"/>
        </w:rPr>
      </w:pPr>
      <w:r>
        <w:rPr>
          <w:rFonts w:ascii="宋体" w:hAnsi="宋体" w:cs="宋体"/>
          <w:bCs/>
          <w:sz w:val="18"/>
          <w:szCs w:val="18"/>
        </w:rPr>
        <w:t>7.临时公告</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w:t>
      </w:r>
      <w:r>
        <w:rPr>
          <w:rFonts w:ascii="黑体" w:hAnsi="黑体" w:eastAsia="黑体" w:cs="宋体"/>
          <w:sz w:val="18"/>
          <w:szCs w:val="18"/>
        </w:rPr>
        <w:t>1）</w:t>
      </w:r>
      <w:r>
        <w:rPr>
          <w:rFonts w:hint="eastAsia" w:ascii="黑体" w:hAnsi="黑体" w:eastAsia="黑体" w:cs="宋体"/>
          <w:sz w:val="18"/>
          <w:szCs w:val="18"/>
        </w:rPr>
        <w:t>★产品管理人</w:t>
      </w:r>
      <w:r>
        <w:rPr>
          <w:rFonts w:ascii="黑体" w:hAnsi="黑体" w:eastAsia="黑体" w:cs="宋体"/>
          <w:sz w:val="18"/>
          <w:szCs w:val="18"/>
        </w:rPr>
        <w:t>对</w:t>
      </w:r>
      <w:r>
        <w:rPr>
          <w:rFonts w:hint="eastAsia" w:ascii="黑体" w:hAnsi="黑体" w:eastAsia="黑体" w:cs="宋体"/>
          <w:sz w:val="18"/>
          <w:szCs w:val="18"/>
        </w:rPr>
        <w:t>投资范围、投资资产种类、</w:t>
      </w:r>
      <w:r>
        <w:rPr>
          <w:rFonts w:ascii="黑体" w:hAnsi="黑体" w:eastAsia="黑体" w:cs="宋体"/>
          <w:sz w:val="18"/>
          <w:szCs w:val="18"/>
        </w:rPr>
        <w:t>投资</w:t>
      </w:r>
      <w:r>
        <w:rPr>
          <w:rFonts w:hint="eastAsia" w:ascii="黑体" w:hAnsi="黑体" w:eastAsia="黑体" w:cs="宋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sz w:val="18"/>
          <w:szCs w:val="18"/>
        </w:rPr>
        <w:t>2个工作日发布变更公告</w:t>
      </w:r>
      <w:r>
        <w:rPr>
          <w:rFonts w:hint="eastAsia" w:ascii="黑体" w:hAnsi="黑体" w:eastAsia="黑体" w:cs="宋体"/>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w:t>
      </w:r>
      <w:r>
        <w:rPr>
          <w:rFonts w:ascii="宋体" w:hAnsi="宋体" w:cs="宋体"/>
          <w:bCs/>
          <w:sz w:val="18"/>
          <w:szCs w:val="18"/>
        </w:rPr>
        <w:t>/申购</w:t>
      </w:r>
      <w:r>
        <w:rPr>
          <w:rFonts w:hint="eastAsia" w:ascii="宋体" w:hAnsi="宋体" w:cs="宋体"/>
          <w:bCs/>
          <w:sz w:val="18"/>
          <w:szCs w:val="18"/>
        </w:rPr>
        <w:t>申请、暂停接受</w:t>
      </w:r>
      <w:r>
        <w:rPr>
          <w:rFonts w:ascii="宋体" w:hAnsi="宋体" w:cs="宋体"/>
          <w:bCs/>
          <w:sz w:val="18"/>
          <w:szCs w:val="18"/>
        </w:rPr>
        <w:t>投资者</w:t>
      </w:r>
      <w:r>
        <w:rPr>
          <w:rFonts w:hint="eastAsia" w:ascii="宋体" w:hAnsi="宋体" w:cs="宋体"/>
          <w:bCs/>
          <w:sz w:val="18"/>
          <w:szCs w:val="18"/>
        </w:rPr>
        <w:t>赎回申请、延缓支付赎回款项、</w:t>
      </w:r>
      <w:r>
        <w:rPr>
          <w:rFonts w:ascii="宋体" w:hAnsi="宋体" w:cs="宋体"/>
          <w:bCs/>
          <w:sz w:val="18"/>
          <w:szCs w:val="18"/>
        </w:rPr>
        <w:t>巨额赎回</w:t>
      </w:r>
      <w:r>
        <w:rPr>
          <w:rFonts w:hint="eastAsia" w:ascii="宋体" w:hAnsi="宋体" w:cs="宋体"/>
          <w:bCs/>
          <w:sz w:val="18"/>
          <w:szCs w:val="18"/>
        </w:rPr>
        <w:t>、暂停理财产品估值、采用摆动定价</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w:t>
      </w:r>
      <w:r>
        <w:rPr>
          <w:rFonts w:ascii="黑体" w:hAnsi="黑体" w:eastAsia="黑体" w:cs="宋体"/>
          <w:sz w:val="18"/>
          <w:szCs w:val="18"/>
        </w:rPr>
        <w:t>4）★在本产品存续期内，如因国家法律法规、监管规定发生变化，或是出于维护本产品正常运营的需要，在不损害投资者</w:t>
      </w:r>
      <w:r>
        <w:rPr>
          <w:rFonts w:hint="eastAsia" w:ascii="黑体" w:hAnsi="黑体" w:eastAsia="黑体" w:cs="宋体"/>
          <w:sz w:val="18"/>
          <w:szCs w:val="18"/>
        </w:rPr>
        <w:t>权益</w:t>
      </w:r>
      <w:r>
        <w:rPr>
          <w:rFonts w:ascii="黑体" w:hAnsi="黑体" w:eastAsia="黑体" w:cs="宋体"/>
          <w:sz w:val="18"/>
          <w:szCs w:val="18"/>
        </w:rPr>
        <w:t>的前提下，</w:t>
      </w:r>
      <w:r>
        <w:rPr>
          <w:rFonts w:hint="eastAsia" w:ascii="黑体" w:hAnsi="黑体" w:eastAsia="黑体" w:cs="宋体"/>
          <w:sz w:val="18"/>
          <w:szCs w:val="18"/>
        </w:rPr>
        <w:t>产品管理人</w:t>
      </w:r>
      <w:r>
        <w:rPr>
          <w:rFonts w:ascii="黑体" w:hAnsi="黑体" w:eastAsia="黑体" w:cs="宋体"/>
          <w:sz w:val="18"/>
          <w:szCs w:val="18"/>
        </w:rPr>
        <w:t>有权对</w:t>
      </w:r>
      <w:r>
        <w:rPr>
          <w:rFonts w:hint="eastAsia" w:ascii="黑体" w:hAnsi="黑体" w:eastAsia="黑体" w:cs="宋体"/>
          <w:sz w:val="18"/>
          <w:szCs w:val="18"/>
        </w:rPr>
        <w:t>理财产品销售文件</w:t>
      </w:r>
      <w:r>
        <w:rPr>
          <w:rFonts w:ascii="黑体" w:hAnsi="黑体" w:eastAsia="黑体" w:cs="宋体"/>
          <w:sz w:val="18"/>
          <w:szCs w:val="18"/>
        </w:rPr>
        <w:t>进行修订，并提前2个工作日进行</w:t>
      </w:r>
      <w:r>
        <w:rPr>
          <w:rFonts w:hint="eastAsia" w:ascii="黑体" w:hAnsi="黑体" w:eastAsia="黑体" w:cs="宋体"/>
          <w:sz w:val="18"/>
          <w:szCs w:val="18"/>
        </w:rPr>
        <w:t>公告</w:t>
      </w:r>
      <w:r>
        <w:rPr>
          <w:rFonts w:ascii="黑体" w:hAnsi="黑体" w:eastAsia="黑体" w:cs="宋体"/>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firstLineChars="20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sz w:val="18"/>
          <w:szCs w:val="18"/>
        </w:rPr>
        <w:t>并提前2个工作日进行</w:t>
      </w:r>
      <w:r>
        <w:rPr>
          <w:rFonts w:hint="eastAsia" w:ascii="黑体" w:hAnsi="黑体" w:eastAsia="黑体" w:cs="宋体"/>
          <w:sz w:val="18"/>
          <w:szCs w:val="18"/>
        </w:rPr>
        <w:t>公告。若投资者未选择退出本产品的，则视为已理解并接受管理人的相应变更。</w:t>
      </w:r>
    </w:p>
    <w:p>
      <w:pPr>
        <w:spacing w:line="360" w:lineRule="auto"/>
        <w:rPr>
          <w:rFonts w:ascii="Calibri" w:hAnsi="Calibri" w:cs="宋体"/>
          <w:bCs/>
          <w:sz w:val="24"/>
          <w:szCs w:val="22"/>
        </w:rPr>
      </w:pP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79" w:name="_Toc79154675"/>
      <w:bookmarkStart w:id="280" w:name="_Toc184"/>
      <w:bookmarkStart w:id="281" w:name="_Toc30149"/>
      <w:bookmarkStart w:id="282" w:name="_Toc92377141"/>
      <w:bookmarkStart w:id="283" w:name="_Toc8020"/>
      <w:bookmarkStart w:id="286" w:name="_GoBack"/>
      <w:bookmarkEnd w:id="286"/>
      <w:r>
        <w:rPr>
          <w:rFonts w:hint="eastAsia" w:ascii="Times New Roman" w:hAnsi="Calibri" w:eastAsia="宋体" w:cs="宋体"/>
          <w:b/>
          <w:bCs/>
          <w:kern w:val="44"/>
          <w:sz w:val="30"/>
          <w:szCs w:val="44"/>
          <w:lang w:val="en-US" w:eastAsia="zh-CN" w:bidi="ar-SA"/>
        </w:rPr>
        <w:t>第十二条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79"/>
      <w:bookmarkEnd w:id="280"/>
      <w:bookmarkEnd w:id="281"/>
      <w:bookmarkEnd w:id="282"/>
      <w:bookmarkEnd w:id="283"/>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投资标准化债权类资产的风险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延期终止风险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7</w:t>
      </w:r>
      <w:r>
        <w:rPr>
          <w:rFonts w:ascii="宋体" w:hAnsi="宋体" w:cs="宋体"/>
          <w:sz w:val="18"/>
          <w:szCs w:val="18"/>
        </w:rPr>
        <w:t>.</w:t>
      </w:r>
      <w:r>
        <w:rPr>
          <w:rFonts w:hint="eastAsia" w:ascii="宋体" w:hAnsi="宋体" w:cs="宋体"/>
          <w:sz w:val="18"/>
          <w:szCs w:val="18"/>
        </w:rPr>
        <w:t>关联交易风险</w:t>
      </w:r>
    </w:p>
    <w:p>
      <w:pPr>
        <w:spacing w:line="360" w:lineRule="auto"/>
        <w:ind w:firstLine="360" w:firstLineChars="200"/>
        <w:rPr>
          <w:rFonts w:ascii="宋体" w:hAnsi="宋体" w:cs="宋体"/>
          <w:sz w:val="18"/>
          <w:szCs w:val="18"/>
        </w:rPr>
      </w:pPr>
      <w:r>
        <w:rPr>
          <w:rFonts w:hint="eastAsia" w:ascii="宋体" w:hAnsi="宋体" w:cs="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cs="宋体"/>
          <w:sz w:val="18"/>
          <w:szCs w:val="18"/>
        </w:rPr>
        <w:t>关系</w:t>
      </w:r>
      <w:r>
        <w:rPr>
          <w:rFonts w:hint="eastAsia" w:ascii="宋体" w:hAnsi="宋体" w:cs="宋体"/>
          <w:sz w:val="18"/>
          <w:szCs w:val="18"/>
        </w:rPr>
        <w:t>仍可能产生</w:t>
      </w:r>
      <w:r>
        <w:rPr>
          <w:rFonts w:ascii="宋体" w:hAnsi="宋体" w:cs="宋体"/>
          <w:sz w:val="18"/>
          <w:szCs w:val="18"/>
        </w:rPr>
        <w:t>不利影响和投资</w:t>
      </w:r>
      <w:r>
        <w:rPr>
          <w:rFonts w:hint="eastAsia" w:ascii="宋体" w:hAnsi="宋体" w:cs="宋体"/>
          <w:sz w:val="18"/>
          <w:szCs w:val="18"/>
        </w:rPr>
        <w:t>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rPr>
          <w:rFonts w:ascii="宋体" w:hAnsi="宋体" w:cs="宋体"/>
          <w:sz w:val="18"/>
          <w:szCs w:val="18"/>
        </w:rPr>
      </w:pPr>
      <w:r>
        <w:rPr>
          <w:rFonts w:ascii="宋体"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（盖章/线上确认）：</w:t>
            </w:r>
          </w:p>
          <w:p>
            <w:pPr>
              <w:spacing w:line="360" w:lineRule="auto"/>
              <w:ind w:firstLine="360"/>
              <w:jc w:val="left"/>
              <w:rPr>
                <w:rFonts w:ascii="Calibri" w:hAnsi="Calibri" w:cs="Arial"/>
                <w:sz w:val="18"/>
                <w:szCs w:val="18"/>
              </w:rPr>
            </w:pP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投资者法定代表人或授权代理人（签名/盖章/线上确认）：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兴银理财【稳添利最短持有期日开固收类】理财产品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个人投资者适用</w:t>
            </w: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姓名</w:t>
            </w:r>
          </w:p>
        </w:tc>
        <w:tc>
          <w:tcPr>
            <w:tcW w:w="5061" w:type="dxa"/>
            <w:gridSpan w:val="3"/>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证件类型</w:t>
            </w:r>
          </w:p>
        </w:tc>
        <w:tc>
          <w:tcPr>
            <w:tcW w:w="1384" w:type="dxa"/>
            <w:shd w:val="solid" w:color="FFFFFF" w:fill="FFFFFF"/>
            <w:vAlign w:val="center"/>
          </w:tcPr>
          <w:p>
            <w:pPr>
              <w:spacing w:line="320" w:lineRule="exact"/>
              <w:jc w:val="left"/>
              <w:rPr>
                <w:rFonts w:ascii="宋体" w:hAnsi="宋体" w:cs="宋体"/>
                <w:sz w:val="18"/>
                <w:szCs w:val="18"/>
              </w:rPr>
            </w:pPr>
          </w:p>
        </w:tc>
        <w:tc>
          <w:tcPr>
            <w:tcW w:w="1234"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证件号码</w:t>
            </w:r>
          </w:p>
        </w:tc>
        <w:tc>
          <w:tcPr>
            <w:tcW w:w="2443" w:type="dxa"/>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联系电话</w:t>
            </w:r>
          </w:p>
        </w:tc>
        <w:tc>
          <w:tcPr>
            <w:tcW w:w="1384" w:type="dxa"/>
            <w:shd w:val="solid" w:color="FFFFFF" w:fill="FFFFFF"/>
            <w:vAlign w:val="center"/>
          </w:tcPr>
          <w:p>
            <w:pPr>
              <w:spacing w:line="320" w:lineRule="exact"/>
              <w:jc w:val="left"/>
              <w:rPr>
                <w:rFonts w:ascii="宋体" w:hAnsi="宋体" w:cs="宋体"/>
                <w:sz w:val="18"/>
                <w:szCs w:val="18"/>
              </w:rPr>
            </w:pPr>
          </w:p>
        </w:tc>
        <w:tc>
          <w:tcPr>
            <w:tcW w:w="1234"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电子邮箱</w:t>
            </w:r>
          </w:p>
        </w:tc>
        <w:tc>
          <w:tcPr>
            <w:tcW w:w="2443" w:type="dxa"/>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联系地址</w:t>
            </w:r>
          </w:p>
        </w:tc>
        <w:tc>
          <w:tcPr>
            <w:tcW w:w="5061" w:type="dxa"/>
            <w:gridSpan w:val="3"/>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w:t>
            </w:r>
            <w:r>
              <w:rPr>
                <w:rFonts w:ascii="宋体" w:hAnsi="宋体" w:cs="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sz w:val="18"/>
                <w:szCs w:val="18"/>
              </w:rPr>
            </w:pPr>
            <w:r>
              <w:rPr>
                <w:rFonts w:hint="eastAsia" w:ascii="宋体" w:hAnsi="宋体" w:cs="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sz w:val="18"/>
                <w:szCs w:val="18"/>
              </w:rPr>
            </w:pPr>
            <w:r>
              <w:rPr>
                <w:rFonts w:hint="eastAsia" w:ascii="Calibri" w:hAnsi="宋体" w:cs="宋体"/>
                <w:sz w:val="18"/>
                <w:szCs w:val="18"/>
              </w:rPr>
              <w:t>★</w:t>
            </w:r>
            <w:r>
              <w:rPr>
                <w:rFonts w:hint="eastAsia" w:ascii="宋体" w:hAnsi="宋体" w:cs="宋体"/>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w:t>
            </w:r>
            <w:r>
              <w:rPr>
                <w:rFonts w:cs="宋体" w:asciiTheme="majorEastAsia" w:hAnsiTheme="majorEastAsia" w:eastAsiaTheme="majorEastAsia"/>
                <w:sz w:val="18"/>
                <w:szCs w:val="18"/>
              </w:rPr>
              <w:t xml:space="preserve"> </w:t>
            </w:r>
            <w:r>
              <w:rPr>
                <w:rFonts w:hint="eastAsia" w:cs="宋体" w:asciiTheme="majorEastAsia" w:hAnsiTheme="majorEastAsia" w:eastAsiaTheme="majorEastAsia"/>
                <w:sz w:val="18"/>
                <w:szCs w:val="18"/>
              </w:rPr>
              <w:t>直销：产品管理人销售</w:t>
            </w:r>
          </w:p>
          <w:p>
            <w:pPr>
              <w:spacing w:line="320" w:lineRule="exact"/>
              <w:jc w:val="left"/>
              <w:rPr>
                <w:rFonts w:ascii="宋体" w:hAnsi="宋体" w:cs="宋体"/>
                <w:sz w:val="18"/>
                <w:szCs w:val="18"/>
              </w:rPr>
            </w:pPr>
            <w:r>
              <w:rPr>
                <w:rFonts w:hint="eastAsia" w:cs="宋体" w:asciiTheme="majorEastAsia" w:hAnsiTheme="majorEastAsia" w:eastAsiaTheme="majorEastAsia"/>
                <w:sz w:val="18"/>
                <w:szCs w:val="18"/>
              </w:rPr>
              <w:t>■</w:t>
            </w:r>
            <w:r>
              <w:rPr>
                <w:rFonts w:cs="宋体" w:asciiTheme="majorEastAsia" w:hAnsiTheme="majorEastAsia" w:eastAsiaTheme="majorEastAsia"/>
                <w:sz w:val="18"/>
                <w:szCs w:val="18"/>
              </w:rPr>
              <w:t xml:space="preserve"> </w:t>
            </w:r>
            <w:r>
              <w:rPr>
                <w:rFonts w:hint="eastAsia" w:cs="宋体" w:asciiTheme="majorEastAsia" w:hAnsiTheme="majorEastAsia" w:eastAsiaTheme="majorEastAsia"/>
                <w:sz w:val="18"/>
                <w:szCs w:val="18"/>
              </w:rPr>
              <w:t>代销：代理</w:t>
            </w:r>
            <w:r>
              <w:rPr>
                <w:rFonts w:cs="宋体" w:asciiTheme="majorEastAsia" w:hAnsiTheme="majorEastAsia" w:eastAsiaTheme="majorEastAsia"/>
                <w:sz w:val="18"/>
                <w:szCs w:val="18"/>
              </w:rPr>
              <w:t>销售机构</w:t>
            </w:r>
            <w:r>
              <w:rPr>
                <w:rFonts w:hint="eastAsia" w:cs="宋体" w:asciiTheme="majorEastAsia" w:hAnsiTheme="majorEastAsia" w:eastAsiaTheme="majorEastAsia"/>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机构名称</w:t>
            </w:r>
          </w:p>
        </w:tc>
        <w:tc>
          <w:tcPr>
            <w:tcW w:w="5061" w:type="dxa"/>
            <w:gridSpan w:val="3"/>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sym w:font="Wingdings 2" w:char="00A3"/>
      </w:r>
      <w:r>
        <w:rPr>
          <w:rFonts w:hint="eastAsia" w:cs="宋体" w:asciiTheme="majorEastAsia" w:hAnsiTheme="majorEastAsia" w:eastAsiaTheme="majorEastAsia"/>
          <w:sz w:val="18"/>
          <w:szCs w:val="18"/>
        </w:rPr>
        <w:t xml:space="preserve"> 参照本条第（1）款非机构投资者要求执行；</w:t>
      </w:r>
    </w:p>
    <w:p>
      <w:pPr>
        <w:widowControl/>
        <w:spacing w:line="360" w:lineRule="auto"/>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sym w:font="Wingdings 2" w:char="00A3"/>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宋体"/>
                <w:b/>
                <w:kern w:val="0"/>
                <w:sz w:val="18"/>
                <w:szCs w:val="18"/>
              </w:rPr>
            </w:pPr>
            <w:r>
              <w:rPr>
                <w:rFonts w:hint="eastAsia" w:ascii="Calibri" w:hAnsi="Calibri" w:cs="Arial"/>
                <w:kern w:val="0"/>
                <w:sz w:val="18"/>
                <w:szCs w:val="18"/>
              </w:rPr>
              <w:t>甲方法定代表人或授权代理人（</w:t>
            </w:r>
            <w:r>
              <w:rPr>
                <w:rFonts w:ascii="Calibri" w:hAnsi="Calibri" w:cs="Arial"/>
                <w:kern w:val="0"/>
                <w:sz w:val="18"/>
                <w:szCs w:val="18"/>
              </w:rPr>
              <w:t>签名</w:t>
            </w:r>
            <w:r>
              <w:rPr>
                <w:rFonts w:hint="eastAsia" w:ascii="Calibri" w:hAnsi="Calibri" w:cs="Arial"/>
                <w:kern w:val="0"/>
                <w:sz w:val="18"/>
                <w:szCs w:val="18"/>
              </w:rPr>
              <w:t>/盖章/线上确认）：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bCs/>
          <w:sz w:val="18"/>
          <w:szCs w:val="18"/>
        </w:rPr>
      </w:pPr>
      <w:r>
        <w:rPr>
          <w:rFonts w:hint="eastAsia" w:ascii="宋体" w:hAnsi="宋体" w:cs="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兴银理财【稳添利最短持有期日开固收类】理财产品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cs="仿宋_GB2312"/>
          <w:kern w:val="0"/>
          <w:sz w:val="18"/>
          <w:szCs w:val="18"/>
          <w:lang w:eastAsia="zh-CN"/>
        </w:rPr>
        <w:t>兴银理财稳添利月盈73号(1个月最短持有期)日开固收类理财产品</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lang w:eastAsia="zh-CN"/>
        </w:rPr>
        <w:t>【稳添利月盈增利73号B】（适用【</w:t>
      </w:r>
      <w:r>
        <w:rPr>
          <w:rFonts w:hint="eastAsia" w:ascii="宋体" w:hAnsi="宋体" w:cs="仿宋_GB2312"/>
          <w:kern w:val="0"/>
          <w:sz w:val="18"/>
          <w:szCs w:val="18"/>
          <w:lang w:val="en-US" w:eastAsia="zh-CN"/>
        </w:rPr>
        <w:t>B</w:t>
      </w:r>
      <w:r>
        <w:rPr>
          <w:rFonts w:hint="eastAsia" w:ascii="宋体" w:hAnsi="宋体" w:cs="仿宋_GB2312"/>
          <w:kern w:val="0"/>
          <w:sz w:val="18"/>
          <w:szCs w:val="18"/>
          <w:lang w:eastAsia="zh-CN"/>
        </w:rPr>
        <w:t>】类份额）</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hint="eastAsia" w:ascii="宋体" w:hAnsi="宋体" w:cs="仿宋_GB2312"/>
          <w:kern w:val="0"/>
          <w:sz w:val="18"/>
          <w:szCs w:val="18"/>
          <w:lang w:eastAsia="zh-CN"/>
        </w:rPr>
        <w:t>Z7002025001399</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hint="eastAsia" w:ascii="宋体" w:hAnsi="宋体" w:cs="仿宋_GB2312"/>
          <w:kern w:val="0"/>
          <w:sz w:val="18"/>
          <w:szCs w:val="18"/>
          <w:lang w:val="en-US" w:eastAsia="zh-CN"/>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hint="eastAsia" w:ascii="宋体" w:hAnsi="宋体" w:cs="仿宋_GB2312"/>
          <w:kern w:val="0"/>
          <w:sz w:val="18"/>
          <w:szCs w:val="18"/>
          <w:lang w:val="en-US" w:eastAsia="zh-CN"/>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hint="eastAsia" w:ascii="宋体" w:hAnsi="宋体" w:cs="仿宋_GB2312"/>
          <w:kern w:val="0"/>
          <w:sz w:val="18"/>
          <w:szCs w:val="18"/>
          <w:lang w:val="en-US" w:eastAsia="zh-CN"/>
        </w:rPr>
        <w:t>R2</w:t>
      </w:r>
      <w:r>
        <w:rPr>
          <w:rFonts w:hint="eastAsia" w:ascii="宋体" w:hAnsi="宋体" w:cs="仿宋_GB2312"/>
          <w:kern w:val="0"/>
          <w:sz w:val="18"/>
          <w:szCs w:val="18"/>
        </w:rPr>
        <w:t>】）。</w:t>
      </w:r>
      <w:r>
        <w:rPr>
          <w:rFonts w:hint="eastAsia" w:cs="宋体"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cs="宋体" w:asciiTheme="majorEastAsia" w:hAnsiTheme="majorEastAsia" w:eastAsiaTheme="majorEastAsia"/>
          <w:bCs/>
          <w:color w:val="000000" w:themeColor="text1"/>
          <w:sz w:val="18"/>
          <w:szCs w:val="18"/>
          <w:lang w:eastAsia="zh-CN"/>
          <w14:textFill>
            <w14:solidFill>
              <w14:schemeClr w14:val="tx1"/>
            </w14:solidFill>
          </w14:textFill>
        </w:rPr>
      </w:pPr>
      <w:bookmarkStart w:id="284" w:name="per_risk"/>
      <w:bookmarkEnd w:id="284"/>
      <w:r>
        <w:rPr>
          <w:rFonts w:hint="eastAsia" w:cs="宋体" w:asciiTheme="majorEastAsia" w:hAnsiTheme="majorEastAsia" w:eastAsiaTheme="majorEastAsia"/>
          <w:bCs/>
          <w:color w:val="000000" w:themeColor="text1"/>
          <w:sz w:val="18"/>
          <w:szCs w:val="18"/>
          <w:lang w:eastAsia="zh-CN"/>
          <w14:textFill>
            <w14:solidFill>
              <w14:schemeClr w14:val="tx1"/>
            </w14:solidFill>
          </w14:textFill>
        </w:rPr>
        <w:t>■个人投资者：【□ C1、■ C2、■ C3、■ C4、■ C5、■ C6】。</w:t>
      </w:r>
    </w:p>
    <w:p>
      <w:pPr>
        <w:ind w:firstLine="360" w:firstLineChars="200"/>
        <w:rPr>
          <w:rFonts w:hint="eastAsia" w:cs="宋体" w:asciiTheme="majorEastAsia" w:hAnsiTheme="majorEastAsia" w:eastAsiaTheme="majorEastAsia"/>
          <w:bCs/>
          <w:color w:val="000000" w:themeColor="text1"/>
          <w:sz w:val="18"/>
          <w:szCs w:val="18"/>
          <w:lang w:eastAsia="zh-CN"/>
          <w14:textFill>
            <w14:solidFill>
              <w14:schemeClr w14:val="tx1"/>
            </w14:solidFill>
          </w14:textFill>
        </w:rPr>
      </w:pPr>
      <w:bookmarkStart w:id="285" w:name="ins_risk"/>
      <w:bookmarkEnd w:id="285"/>
      <w:r>
        <w:rPr>
          <w:rFonts w:hint="eastAsia" w:cs="宋体" w:asciiTheme="majorEastAsia" w:hAnsiTheme="majorEastAsia" w:eastAsiaTheme="majorEastAsia"/>
          <w:bCs/>
          <w:color w:val="000000" w:themeColor="text1"/>
          <w:sz w:val="18"/>
          <w:szCs w:val="18"/>
          <w:lang w:eastAsia="zh-CN"/>
          <w14:textFill>
            <w14:solidFill>
              <w14:schemeClr w14:val="tx1"/>
            </w14:solidFill>
          </w14:textFill>
        </w:rPr>
        <w:t>■机构投资者：【□ C1、■ 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投资标准化债权类资产的风险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cs="宋体"/>
          <w:sz w:val="18"/>
          <w:szCs w:val="18"/>
        </w:rPr>
      </w:pPr>
      <w:r>
        <w:rPr>
          <w:rFonts w:hint="eastAsia" w:ascii="宋体" w:hAnsi="宋体" w:cs="宋体"/>
          <w:sz w:val="18"/>
          <w:szCs w:val="18"/>
        </w:rPr>
        <w:t xml:space="preserve">（2）投资商品和金融衍生品类资产的风险 </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360" w:firstLineChars="200"/>
        <w:rPr>
          <w:rFonts w:ascii="宋体" w:hAnsi="宋体" w:cs="宋体"/>
          <w:sz w:val="18"/>
          <w:szCs w:val="18"/>
        </w:rPr>
      </w:pPr>
      <w:r>
        <w:rPr>
          <w:rFonts w:hint="eastAsia" w:ascii="宋体" w:hAnsi="宋体" w:cs="宋体"/>
          <w:sz w:val="18"/>
          <w:szCs w:val="18"/>
        </w:rPr>
        <w:t>】</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widowControl w:val="0"/>
        <w:ind w:firstLine="426" w:firstLineChars="0"/>
        <w:jc w:val="both"/>
        <w:rPr>
          <w:rFonts w:ascii="宋体" w:hAnsi="宋体" w:eastAsia="宋体" w:cs="宋体"/>
          <w:b/>
          <w:kern w:val="2"/>
          <w:sz w:val="18"/>
          <w:szCs w:val="18"/>
          <w:lang w:val="en-US" w:eastAsia="zh-CN" w:bidi="ar-SA"/>
        </w:rPr>
      </w:pPr>
      <w:r>
        <w:rPr>
          <w:rFonts w:hint="eastAsia" w:ascii="宋体" w:hAnsi="宋体" w:eastAsia="宋体" w:cs="宋体"/>
          <w:b/>
          <w:kern w:val="2"/>
          <w:sz w:val="18"/>
          <w:szCs w:val="18"/>
          <w:lang w:val="en-US" w:eastAsia="zh-CN" w:bidi="ar-SA"/>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17.关联交易风险</w:t>
      </w:r>
    </w:p>
    <w:p>
      <w:pPr>
        <w:widowControl w:val="0"/>
        <w:ind w:firstLine="420" w:firstLineChars="0"/>
        <w:jc w:val="both"/>
        <w:rPr>
          <w:rFonts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宋体"/>
          <w:bCs/>
          <w:sz w:val="18"/>
          <w:szCs w:val="18"/>
        </w:rPr>
        <w:t>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销售机构（【</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bCs/>
                <w:kern w:val="0"/>
                <w:sz w:val="18"/>
                <w:szCs w:val="18"/>
              </w:rPr>
            </w:pPr>
            <w:r>
              <w:rPr>
                <w:rFonts w:hint="eastAsia" w:ascii="Calibri" w:hAnsi="Calibri" w:cs="宋体"/>
                <w:b/>
                <w:bCs/>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outlineLvl w:val="0"/>
        <w:rPr>
          <w:rStyle w:val="10"/>
          <w:rFonts w:ascii="黑体" w:hAnsi="黑体" w:eastAsia="黑体"/>
          <w:sz w:val="28"/>
          <w:szCs w:val="28"/>
        </w:rPr>
      </w:pPr>
      <w:r>
        <w:rPr>
          <w:rStyle w:val="10"/>
          <w:rFonts w:hint="eastAsia" w:ascii="黑体" w:hAnsi="黑体" w:eastAsia="黑体" w:cstheme="minorBidi"/>
          <w:sz w:val="28"/>
          <w:szCs w:val="28"/>
        </w:rPr>
        <w:t>兴银理财【</w:t>
      </w:r>
      <w:r>
        <w:rPr>
          <w:rFonts w:hint="eastAsia" w:ascii="黑体" w:hAnsi="黑体" w:eastAsia="黑体"/>
          <w:b/>
          <w:sz w:val="28"/>
          <w:szCs w:val="28"/>
        </w:rPr>
        <w:t>稳添利最短持有期日开固收类</w:t>
      </w:r>
      <w:r>
        <w:rPr>
          <w:rStyle w:val="10"/>
          <w:rFonts w:hint="eastAsia" w:ascii="黑体" w:hAnsi="黑体" w:eastAsia="黑体" w:cstheme="minorBidi"/>
          <w:sz w:val="28"/>
          <w:szCs w:val="28"/>
        </w:rPr>
        <w:t>】理财产品</w:t>
      </w:r>
    </w:p>
    <w:p>
      <w:pPr>
        <w:adjustRightInd w:val="0"/>
        <w:spacing w:line="276" w:lineRule="auto"/>
        <w:jc w:val="center"/>
        <w:outlineLvl w:val="0"/>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outlineLvl w:val="0"/>
        <w:rPr>
          <w:rFonts w:hAnsi="宋体"/>
          <w:b/>
          <w:color w:val="auto"/>
          <w:sz w:val="28"/>
          <w:szCs w:val="28"/>
        </w:rPr>
      </w:pPr>
      <w:r>
        <w:rPr>
          <w:rFonts w:hint="eastAsia" w:hAnsi="宋体"/>
          <w:b/>
          <w:color w:val="auto"/>
          <w:sz w:val="28"/>
          <w:szCs w:val="28"/>
        </w:rPr>
        <w:t>（适用于个人投资者）</w:t>
      </w:r>
    </w:p>
    <w:p>
      <w:pPr>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宋体" w:hAnsi="宋体"/>
          <w:sz w:val="18"/>
          <w:szCs w:val="18"/>
        </w:rPr>
        <w:sym w:font="Wingdings 2" w:char="0052"/>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outlineLvl w:val="1"/>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Cs/>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hint="eastAsia" w:ascii="宋体" w:hAnsi="宋体"/>
          <w:sz w:val="18"/>
          <w:szCs w:val="18"/>
          <w:lang w:val="en-US" w:eastAsia="zh-CN"/>
        </w:rPr>
        <w:t>6</w:t>
      </w:r>
      <w:r>
        <w:rPr>
          <w:rFonts w:ascii="宋体" w:hAnsi="宋体"/>
          <w:sz w:val="18"/>
          <w:szCs w:val="18"/>
        </w:rPr>
        <w:t>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hint="eastAsia" w:ascii="宋体" w:hAnsi="宋体"/>
          <w:sz w:val="18"/>
          <w:szCs w:val="18"/>
          <w:lang w:val="en-US" w:eastAsia="zh-CN"/>
        </w:rPr>
        <w:t>C6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outlineLvl w:val="1"/>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outlineLvl w:val="1"/>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outlineLvl w:val="2"/>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outlineLvl w:val="2"/>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outlineLvl w:val="2"/>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jc w:val="left"/>
        <w:rPr>
          <w:rFonts w:ascii="仿宋_GB2312" w:eastAsia="仿宋_GB2312" w:cs="仿宋_GB2312"/>
          <w:color w:val="000000"/>
          <w:kern w:val="0"/>
          <w:sz w:val="24"/>
          <w:szCs w:val="24"/>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outlineLvl w:val="0"/>
        <w:rPr>
          <w:rStyle w:val="10"/>
          <w:rFonts w:ascii="黑体" w:hAnsi="黑体" w:eastAsia="黑体"/>
          <w:sz w:val="28"/>
          <w:szCs w:val="28"/>
        </w:rPr>
      </w:pPr>
      <w:r>
        <w:rPr>
          <w:rStyle w:val="10"/>
          <w:rFonts w:hint="eastAsia" w:ascii="黑体" w:hAnsi="黑体" w:eastAsia="黑体" w:cstheme="minorBidi"/>
          <w:sz w:val="28"/>
          <w:szCs w:val="28"/>
        </w:rPr>
        <w:t>兴银理财【</w:t>
      </w:r>
      <w:r>
        <w:rPr>
          <w:rFonts w:hint="eastAsia" w:ascii="黑体" w:hAnsi="黑体" w:eastAsia="黑体"/>
          <w:b/>
          <w:sz w:val="28"/>
          <w:szCs w:val="28"/>
        </w:rPr>
        <w:t>稳添利最短持有期日开固收类</w:t>
      </w:r>
      <w:r>
        <w:rPr>
          <w:rStyle w:val="10"/>
          <w:rFonts w:hint="eastAsia" w:ascii="黑体" w:hAnsi="黑体" w:eastAsia="黑体" w:cstheme="minorBidi"/>
          <w:sz w:val="28"/>
          <w:szCs w:val="28"/>
        </w:rPr>
        <w:t>】理财产品</w:t>
      </w:r>
    </w:p>
    <w:p>
      <w:pPr>
        <w:adjustRightInd w:val="0"/>
        <w:spacing w:line="280" w:lineRule="atLeast"/>
        <w:jc w:val="center"/>
        <w:outlineLvl w:val="0"/>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outlineLvl w:val="0"/>
        <w:rPr>
          <w:rFonts w:hAnsi="宋体"/>
          <w:b/>
          <w:color w:val="auto"/>
          <w:sz w:val="28"/>
          <w:szCs w:val="28"/>
        </w:rPr>
      </w:pPr>
      <w:r>
        <w:rPr>
          <w:rFonts w:hint="eastAsia" w:hAnsi="宋体"/>
          <w:b/>
          <w:color w:val="auto"/>
          <w:sz w:val="28"/>
          <w:szCs w:val="28"/>
        </w:rPr>
        <w:t>（适用于机构投资者）</w:t>
      </w:r>
    </w:p>
    <w:p>
      <w:pPr>
        <w:spacing w:line="280" w:lineRule="atLeast"/>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outlineLvl w:val="1"/>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bCs/>
          <w:sz w:val="18"/>
          <w:szCs w:val="18"/>
        </w:rPr>
      </w:pPr>
      <w:r>
        <w:rPr>
          <w:rFonts w:hint="eastAsia" w:ascii="宋体" w:hAnsi="宋体"/>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Cs/>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outlineLvl w:val="1"/>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outlineLvl w:val="1"/>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outlineLvl w:val="2"/>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outlineLvl w:val="2"/>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outlineLvl w:val="2"/>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E5BA7"/>
    <w:rsid w:val="637F58C5"/>
    <w:rsid w:val="79CA0B61"/>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2</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2025-10-31T09:37:22Z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