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98018">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兴银理财【稳添利最短持有期日开固收类】理财产品</w:t>
      </w:r>
      <w:permEnd w:id="0"/>
    </w:p>
    <w:p w14:paraId="34130DC4">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2E1BBB2B">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0C1F047E">
      <w:pPr>
        <w:rPr>
          <w:rFonts w:ascii="宋体" w:hAnsi="宋体" w:cs="仿宋_GB2312"/>
          <w:b/>
          <w:kern w:val="0"/>
          <w:sz w:val="18"/>
          <w:szCs w:val="18"/>
        </w:rPr>
      </w:pPr>
      <w:r>
        <w:rPr>
          <w:rFonts w:hint="eastAsia" w:ascii="宋体" w:hAnsi="宋体" w:cs="仿宋_GB2312"/>
          <w:b/>
          <w:kern w:val="0"/>
          <w:sz w:val="18"/>
          <w:szCs w:val="18"/>
        </w:rPr>
        <w:t>尊敬的投资者：</w:t>
      </w:r>
    </w:p>
    <w:p w14:paraId="1418E70E">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3EE6C78A">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5F3FC98C">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14:paraId="51940788">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14:paraId="118D2AF2">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【兴银理财稳添利周盈66号(7天最短持有期)日开固收类理财产品】</w:t>
      </w:r>
      <w:permEnd w:id="1"/>
    </w:p>
    <w:p w14:paraId="7B5565A3">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【稳添利周盈66号A(兴普惠)】 (适用【A】类份额)
</w:t>
      </w:r>
      <w:r>
        <w:rPr>
          <w:rFonts w:hint="eastAsia" w:ascii="宋体" w:hAnsi="宋体" w:cs="仿宋_GB2312"/>
          <w:kern w:val="0"/>
          <w:sz w:val="18"/>
          <w:szCs w:val="18"/>
          <w:lang w:val="en-US" w:eastAsia="zh-CN"/>
        </w:rPr>
        <w:t xml:space="preserve"> </w:t>
      </w:r>
      <w:permEnd w:id="2"/>
    </w:p>
    <w:p w14:paraId="3A69C2AB">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【Z7002025000858】</w:t>
      </w:r>
      <w:permEnd w:id="3"/>
    </w:p>
    <w:p w14:paraId="757FB64E">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121692E5">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53817EA6">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7A114A14">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w:t>
      </w:r>
    </w:p>
    <w:p w14:paraId="42230DE2">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5EDD7EA9">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7B7E4170">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659B4E8C">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0B4BA698">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489C198D">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14:paraId="54102282">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2CEF6B05">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4F226B54">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C2、■ C3、■ C4、■ C5】。</w:t>
      </w:r>
    </w:p>
    <w:p w14:paraId="27C275D8">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C3、</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C4、</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bookmarkStart w:id="0" w:name="_GoBack"/>
      <w:bookmarkEnd w:id="0"/>
      <w:r>
        <w:rPr>
          <w:rFonts w:hint="eastAsia" w:asciiTheme="majorEastAsia" w:hAnsiTheme="majorEastAsia" w:eastAsiaTheme="majorEastAsia"/>
          <w:bCs/>
          <w:color w:val="000000" w:themeColor="text1"/>
          <w:sz w:val="18"/>
          <w:szCs w:val="18"/>
          <w14:textFill>
            <w14:solidFill>
              <w14:schemeClr w14:val="tx1"/>
            </w14:solidFill>
          </w14:textFill>
        </w:rPr>
        <w:t xml:space="preserve"> C5】。</w:t>
      </w:r>
    </w:p>
    <w:permEnd w:id="9"/>
    <w:p w14:paraId="40E0B47D">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4006EAF4">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7FF12F34">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604D398F">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EAED55B">
      <w:pPr>
        <w:ind w:firstLine="360" w:firstLineChars="200"/>
        <w:rPr>
          <w:rFonts w:hint="eastAsia" w:ascii="宋体" w:hAnsi="宋体"/>
          <w:sz w:val="18"/>
          <w:szCs w:val="18"/>
        </w:rPr>
      </w:pPr>
      <w:permStart w:id="10" w:edGrp="everyone"/>
      <w:r>
        <w:rPr>
          <w:rFonts w:hint="eastAsia" w:ascii="宋体" w:hAnsi="宋体"/>
          <w:sz w:val="18"/>
          <w:szCs w:val="18"/>
          <w:lang w:eastAsia="zh-CN"/>
        </w:rPr>
        <w:t>【</w:t>
      </w:r>
      <w:r>
        <w:rPr>
          <w:rFonts w:hint="eastAsia" w:ascii="宋体" w:hAnsi="宋体"/>
          <w:sz w:val="18"/>
          <w:szCs w:val="18"/>
        </w:rPr>
        <w:t>1.拟投资市场和资产的风险：</w:t>
      </w:r>
    </w:p>
    <w:p w14:paraId="16BE4C00">
      <w:pPr>
        <w:ind w:firstLine="360" w:firstLineChars="200"/>
        <w:rPr>
          <w:rFonts w:hint="eastAsia" w:ascii="宋体" w:hAnsi="宋体"/>
          <w:sz w:val="18"/>
          <w:szCs w:val="18"/>
        </w:rPr>
      </w:pPr>
      <w:r>
        <w:rPr>
          <w:rFonts w:hint="eastAsia" w:ascii="宋体" w:hAnsi="宋体"/>
          <w:sz w:val="18"/>
          <w:szCs w:val="18"/>
        </w:rPr>
        <w:t>（1）投资债权类资产的风险</w:t>
      </w:r>
    </w:p>
    <w:p w14:paraId="499D3CC2">
      <w:pPr>
        <w:ind w:firstLine="360" w:firstLineChars="200"/>
        <w:rPr>
          <w:rFonts w:hint="eastAsia" w:ascii="宋体" w:hAnsi="宋体"/>
          <w:sz w:val="18"/>
          <w:szCs w:val="18"/>
        </w:rPr>
      </w:pPr>
      <w:r>
        <w:rPr>
          <w:rFonts w:hint="eastAsia" w:ascii="宋体" w:hAnsi="宋体"/>
          <w:sz w:val="18"/>
          <w:szCs w:val="18"/>
        </w:rPr>
        <w:t>1）投资标准化债权类资产的风险</w:t>
      </w:r>
    </w:p>
    <w:p w14:paraId="59E56E28">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6F4A0C3C">
      <w:pPr>
        <w:ind w:firstLine="360" w:firstLineChars="200"/>
        <w:rPr>
          <w:rFonts w:hint="eastAsia" w:ascii="宋体" w:hAnsi="宋体"/>
          <w:sz w:val="18"/>
          <w:szCs w:val="18"/>
        </w:rPr>
      </w:pPr>
      <w:r>
        <w:rPr>
          <w:rFonts w:hint="eastAsia" w:ascii="宋体" w:hAnsi="宋体"/>
          <w:sz w:val="18"/>
          <w:szCs w:val="18"/>
        </w:rPr>
        <w:t xml:space="preserve">（2）投资权益类资产的风险 </w:t>
      </w:r>
    </w:p>
    <w:p w14:paraId="04990F15">
      <w:pPr>
        <w:ind w:firstLine="360" w:firstLineChars="200"/>
        <w:rPr>
          <w:rFonts w:hint="eastAsia" w:ascii="宋体" w:hAnsi="宋体"/>
          <w:sz w:val="18"/>
          <w:szCs w:val="18"/>
        </w:rPr>
      </w:pPr>
      <w:r>
        <w:rPr>
          <w:rFonts w:hint="eastAsia" w:ascii="宋体" w:hAnsi="宋体"/>
          <w:sz w:val="18"/>
          <w:szCs w:val="18"/>
        </w:rPr>
        <w:t>1）投资股票类资产的风险</w:t>
      </w:r>
    </w:p>
    <w:p w14:paraId="2CFE2B89">
      <w:pPr>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14:paraId="5372E49B">
      <w:pPr>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14:paraId="6B33BE06">
      <w:pPr>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76316C57">
      <w:pPr>
        <w:ind w:firstLine="360" w:firstLineChars="200"/>
        <w:rPr>
          <w:rFonts w:hint="eastAsia" w:ascii="宋体" w:hAnsi="宋体"/>
          <w:sz w:val="18"/>
          <w:szCs w:val="18"/>
        </w:rPr>
      </w:pPr>
      <w:r>
        <w:rPr>
          <w:rFonts w:hint="eastAsia" w:ascii="宋体" w:hAnsi="宋体"/>
          <w:sz w:val="18"/>
          <w:szCs w:val="18"/>
        </w:rPr>
        <w:t>（4）投资可转债、可交债资产的风险</w:t>
      </w:r>
    </w:p>
    <w:p w14:paraId="46DE3D76">
      <w:pPr>
        <w:ind w:firstLine="360" w:firstLineChars="200"/>
        <w:rPr>
          <w:rFonts w:ascii="宋体" w:hAnsi="宋体"/>
          <w:sz w:val="18"/>
          <w:szCs w:val="18"/>
        </w:rPr>
      </w:pPr>
      <w:r>
        <w:rPr>
          <w:rFonts w:hint="eastAsia" w:ascii="宋体" w:hAnsi="宋体"/>
          <w:sz w:val="18"/>
          <w:szCs w:val="18"/>
        </w:rPr>
        <w:t>本产品部分资金投资于可转债、可交债，需要承担可转债市场的流动性风险、由可转债对应正股股票价格波动带来的可转债价格波动风险，以及在转股期内由于可转债正股股票价格低于转股价而导致不能获得转股收益的风险等。可转债在发行时设置赎回条款，在触发赎回条件时发行人有权对转债进行赎回，一旦发行人赎回转债可能面临赎回价格低于转债市场价格的风险，并且转债被赎回后面临再投资的风险。</w:t>
      </w:r>
      <w:r>
        <w:rPr>
          <w:rFonts w:hint="eastAsia" w:ascii="宋体" w:hAnsi="宋体"/>
          <w:sz w:val="18"/>
          <w:szCs w:val="18"/>
          <w:lang w:eastAsia="zh-CN"/>
        </w:rPr>
        <w:t>】</w:t>
      </w:r>
      <w:permEnd w:id="10"/>
    </w:p>
    <w:p w14:paraId="27B3C95E">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40F1C0EA">
      <w:pPr>
        <w:pStyle w:val="14"/>
        <w:ind w:firstLine="426" w:firstLineChars="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73088D56">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079579BD">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77126906">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2D0F33BC">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688795D2">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1F799791">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6C463F73">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435B3F94">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0EF2AF0E">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268216B5">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72A5E9D9">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267E50D5">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22BF3F94">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1CC27636">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75FBE172">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7E93CB4C">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00FD30D3">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780B698B">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254B3AB3">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23E7F60B">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0053895F">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1F4B4C55">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755A2DEB">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163E4344">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64AD0293">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777700C5">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0BAB1F74">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06491860">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727C81D9">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1604B2DF">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5584CCDC">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721ED56C">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5B6ED68F">
      <w:pPr>
        <w:pStyle w:val="14"/>
        <w:ind w:firstLineChars="0"/>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仿宋_GB2312"/>
          <w:b/>
          <w:bCs/>
          <w:kern w:val="0"/>
          <w:sz w:val="18"/>
          <w:szCs w:val="18"/>
        </w:rPr>
        <w:t>★</w:t>
      </w:r>
      <w:r>
        <w:rPr>
          <w:rFonts w:hint="eastAsia" w:ascii="黑体" w:hAnsi="黑体" w:eastAsia="黑体" w:cs="黑体"/>
          <w:b/>
          <w:bCs/>
          <w:sz w:val="18"/>
          <w:szCs w:val="18"/>
        </w:rPr>
        <w:t>关联交易风险</w:t>
      </w:r>
    </w:p>
    <w:p w14:paraId="7546DD61">
      <w:pPr>
        <w:pStyle w:val="14"/>
        <w:ind w:firstLineChars="0"/>
        <w:rPr>
          <w:rFonts w:ascii="宋体" w:hAnsi="宋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6550CB55">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18A387D2">
      <w:pPr>
        <w:autoSpaceDE w:val="0"/>
        <w:autoSpaceDN w:val="0"/>
        <w:adjustRightInd w:val="0"/>
        <w:ind w:firstLine="420"/>
        <w:jc w:val="left"/>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14:paraId="40A6261A">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3D45CF9E">
      <w:pPr>
        <w:ind w:left="540"/>
        <w:jc w:val="right"/>
        <w:rPr>
          <w:rFonts w:ascii="宋体" w:hAnsi="宋体"/>
          <w:sz w:val="18"/>
          <w:szCs w:val="18"/>
        </w:rPr>
      </w:pPr>
    </w:p>
    <w:p w14:paraId="5FE94D3D">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15FFF735">
      <w:pPr>
        <w:wordWrap w:val="0"/>
        <w:ind w:left="540"/>
        <w:jc w:val="right"/>
        <w:rPr>
          <w:rFonts w:ascii="宋体" w:hAnsi="宋体"/>
          <w:sz w:val="18"/>
          <w:szCs w:val="18"/>
        </w:rPr>
      </w:pPr>
      <w:permStart w:id="11" w:edGrp="everyone"/>
      <w:r>
        <w:rPr>
          <w:rFonts w:hint="eastAsia" w:ascii="宋体" w:hAnsi="宋体"/>
          <w:sz w:val="18"/>
          <w:szCs w:val="18"/>
        </w:rPr>
        <w:t>销售机构（【江苏灌云农村商业银行股份有限公司】）</w:t>
      </w:r>
    </w:p>
    <w:permEnd w:id="11"/>
    <w:p w14:paraId="7965333C">
      <w:pPr>
        <w:widowControl/>
        <w:jc w:val="left"/>
        <w:rPr>
          <w:rFonts w:ascii="宋体" w:hAnsi="宋体"/>
          <w:sz w:val="18"/>
          <w:szCs w:val="18"/>
        </w:rPr>
      </w:pPr>
      <w:r>
        <w:rPr>
          <w:rFonts w:ascii="宋体" w:hAnsi="宋体"/>
          <w:sz w:val="18"/>
          <w:szCs w:val="18"/>
        </w:rPr>
        <w:br w:type="page"/>
      </w:r>
    </w:p>
    <w:p w14:paraId="400ACB7E">
      <w:pPr>
        <w:ind w:left="540"/>
        <w:jc w:val="right"/>
        <w:rPr>
          <w:rFonts w:ascii="宋体" w:hAnsi="宋体"/>
          <w:sz w:val="18"/>
          <w:szCs w:val="18"/>
        </w:rPr>
      </w:pPr>
    </w:p>
    <w:p w14:paraId="588AC3AF">
      <w:pPr>
        <w:ind w:left="540"/>
        <w:jc w:val="right"/>
        <w:rPr>
          <w:rFonts w:ascii="宋体" w:hAnsi="宋体"/>
          <w:sz w:val="18"/>
          <w:szCs w:val="18"/>
        </w:rPr>
      </w:pPr>
    </w:p>
    <w:tbl>
      <w:tblPr>
        <w:tblStyle w:val="9"/>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14:paraId="52D8C36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14:paraId="2DC3CED4">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155DDB7">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5290C2A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9BE633F">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14:paraId="10A0289A">
            <w:pPr>
              <w:spacing w:line="280" w:lineRule="atLeast"/>
              <w:jc w:val="left"/>
              <w:rPr>
                <w:rFonts w:ascii="宋体" w:hAnsi="宋体" w:cs="Arial"/>
                <w:sz w:val="18"/>
                <w:szCs w:val="18"/>
              </w:rPr>
            </w:pPr>
          </w:p>
          <w:p w14:paraId="5D95D405">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6FA79917">
            <w:pPr>
              <w:spacing w:line="280" w:lineRule="atLeast"/>
              <w:jc w:val="left"/>
              <w:rPr>
                <w:rFonts w:ascii="宋体" w:hAnsi="宋体" w:cs="Arial"/>
                <w:kern w:val="0"/>
                <w:sz w:val="18"/>
                <w:szCs w:val="18"/>
              </w:rPr>
            </w:pPr>
          </w:p>
          <w:p w14:paraId="44BF68B9">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35430E05">
            <w:pPr>
              <w:spacing w:line="280" w:lineRule="atLeast"/>
              <w:jc w:val="left"/>
              <w:rPr>
                <w:rFonts w:ascii="宋体" w:hAnsi="宋体" w:cs="Arial"/>
                <w:kern w:val="0"/>
                <w:sz w:val="18"/>
                <w:szCs w:val="18"/>
              </w:rPr>
            </w:pPr>
          </w:p>
          <w:p w14:paraId="6106F33D">
            <w:pPr>
              <w:spacing w:line="280" w:lineRule="atLeast"/>
              <w:jc w:val="left"/>
              <w:rPr>
                <w:kern w:val="0"/>
                <w:sz w:val="18"/>
                <w:szCs w:val="18"/>
                <w:u w:val="single"/>
              </w:rPr>
            </w:pPr>
            <w:r>
              <w:rPr>
                <w:rFonts w:hint="eastAsia" w:ascii="宋体" w:hAnsi="宋体" w:cs="Arial"/>
                <w:kern w:val="0"/>
                <w:sz w:val="18"/>
                <w:szCs w:val="18"/>
              </w:rPr>
              <w:t>请投资者在此抄录：</w:t>
            </w:r>
          </w:p>
          <w:p w14:paraId="026D992F">
            <w:pPr>
              <w:spacing w:line="280" w:lineRule="atLeast"/>
              <w:jc w:val="left"/>
              <w:rPr>
                <w:kern w:val="0"/>
                <w:sz w:val="18"/>
                <w:szCs w:val="18"/>
                <w:u w:val="single"/>
              </w:rPr>
            </w:pPr>
          </w:p>
          <w:p w14:paraId="31D0BC21">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14:paraId="3ECBA020">
            <w:pPr>
              <w:spacing w:line="280" w:lineRule="atLeast"/>
              <w:ind w:left="4200" w:firstLine="1080" w:firstLineChars="600"/>
              <w:jc w:val="left"/>
              <w:rPr>
                <w:rFonts w:ascii="宋体" w:hAnsi="宋体" w:cs="Arial"/>
                <w:kern w:val="0"/>
                <w:sz w:val="18"/>
                <w:szCs w:val="18"/>
              </w:rPr>
            </w:pPr>
          </w:p>
          <w:p w14:paraId="3A393C6D">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309A5555">
            <w:pPr>
              <w:spacing w:line="280" w:lineRule="atLeast"/>
              <w:ind w:left="4200" w:firstLine="1080" w:firstLineChars="600"/>
              <w:jc w:val="left"/>
              <w:rPr>
                <w:rFonts w:ascii="宋体" w:hAnsi="宋体" w:cs="Arial"/>
                <w:kern w:val="0"/>
                <w:sz w:val="18"/>
                <w:szCs w:val="18"/>
              </w:rPr>
            </w:pPr>
          </w:p>
          <w:p w14:paraId="18224984">
            <w:pPr>
              <w:spacing w:line="280" w:lineRule="atLeast"/>
              <w:jc w:val="left"/>
              <w:rPr>
                <w:rFonts w:ascii="宋体" w:hAnsi="宋体" w:cs="Arial"/>
                <w:b/>
                <w:bCs/>
                <w:kern w:val="0"/>
                <w:sz w:val="18"/>
                <w:szCs w:val="18"/>
              </w:rPr>
            </w:pPr>
            <w:r>
              <w:rPr>
                <w:rFonts w:hint="eastAsia"/>
                <w:b/>
                <w:bCs/>
                <w:kern w:val="0"/>
                <w:sz w:val="20"/>
                <w:szCs w:val="20"/>
              </w:rPr>
              <w:t>（本风险揭示书共有三份签署文本，第一联销售机构留存，第二联投资者留存，第三联产品管理人留存。）</w:t>
            </w:r>
          </w:p>
          <w:p w14:paraId="30054ADE">
            <w:pPr>
              <w:spacing w:line="280" w:lineRule="atLeast"/>
              <w:jc w:val="right"/>
              <w:rPr>
                <w:rFonts w:ascii="宋体" w:hAnsi="宋体"/>
                <w:kern w:val="0"/>
                <w:sz w:val="18"/>
                <w:szCs w:val="18"/>
              </w:rPr>
            </w:pPr>
          </w:p>
        </w:tc>
      </w:tr>
    </w:tbl>
    <w:p w14:paraId="23D18E5E">
      <w:pPr>
        <w:autoSpaceDE w:val="0"/>
        <w:autoSpaceDN w:val="0"/>
        <w:adjustRightInd w:val="0"/>
        <w:spacing w:line="360" w:lineRule="auto"/>
        <w:ind w:firstLine="420"/>
        <w:jc w:val="left"/>
        <w:rPr>
          <w:rFonts w:ascii="宋体" w:hAnsi="宋体"/>
          <w:sz w:val="24"/>
        </w:rPr>
      </w:pPr>
    </w:p>
    <w:p w14:paraId="27203DC1">
      <w:pPr>
        <w:rPr>
          <w:rFonts w:ascii="宋体" w:hAnsi="宋体" w:cs="Arial"/>
          <w:sz w:val="24"/>
        </w:rPr>
      </w:pPr>
    </w:p>
    <w:p w14:paraId="5B4AD036">
      <w:pPr>
        <w:widowControl/>
        <w:jc w:val="left"/>
        <w:rPr>
          <w:rFonts w:ascii="宋体" w:hAnsi="宋体" w:cs="Arial"/>
          <w:sz w:val="24"/>
        </w:rPr>
      </w:pPr>
      <w:r>
        <w:rPr>
          <w:rFonts w:ascii="宋体" w:hAnsi="宋体" w:cs="Arial"/>
          <w:sz w:val="24"/>
        </w:rPr>
        <w:br w:type="page"/>
      </w:r>
    </w:p>
    <w:tbl>
      <w:tblPr>
        <w:tblStyle w:val="9"/>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14:paraId="721091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14:paraId="3C8504A9">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561DCB1C">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0060830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6EADF994">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14:paraId="77C8B83F">
            <w:pPr>
              <w:spacing w:line="280" w:lineRule="atLeast"/>
              <w:ind w:firstLine="360" w:firstLineChars="200"/>
              <w:jc w:val="left"/>
              <w:rPr>
                <w:rFonts w:ascii="宋体" w:hAnsi="宋体" w:cs="Arial"/>
                <w:kern w:val="0"/>
                <w:sz w:val="18"/>
                <w:szCs w:val="18"/>
              </w:rPr>
            </w:pPr>
          </w:p>
          <w:p w14:paraId="3FC59152">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5C20BA22">
            <w:pPr>
              <w:spacing w:line="280" w:lineRule="atLeast"/>
              <w:ind w:firstLine="360" w:firstLineChars="200"/>
              <w:jc w:val="left"/>
              <w:rPr>
                <w:rFonts w:ascii="宋体" w:hAnsi="宋体" w:cs="Arial"/>
                <w:kern w:val="0"/>
                <w:sz w:val="18"/>
                <w:szCs w:val="18"/>
              </w:rPr>
            </w:pPr>
          </w:p>
          <w:p w14:paraId="20C42621">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27468A3A">
            <w:pPr>
              <w:spacing w:line="280" w:lineRule="atLeast"/>
              <w:jc w:val="left"/>
              <w:rPr>
                <w:rFonts w:ascii="宋体" w:hAnsi="宋体" w:cs="Arial"/>
                <w:kern w:val="0"/>
                <w:sz w:val="18"/>
                <w:szCs w:val="18"/>
              </w:rPr>
            </w:pPr>
          </w:p>
          <w:p w14:paraId="5A66485F">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410A03AE">
            <w:pPr>
              <w:spacing w:line="280" w:lineRule="atLeast"/>
              <w:jc w:val="left"/>
              <w:rPr>
                <w:rFonts w:ascii="宋体" w:hAnsi="宋体" w:cs="Arial"/>
                <w:kern w:val="0"/>
                <w:sz w:val="18"/>
                <w:szCs w:val="18"/>
              </w:rPr>
            </w:pPr>
          </w:p>
          <w:p w14:paraId="0D69849B">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1BA688B0">
            <w:pPr>
              <w:spacing w:line="280" w:lineRule="atLeast"/>
              <w:jc w:val="left"/>
              <w:rPr>
                <w:rFonts w:ascii="宋体" w:hAnsi="宋体" w:cs="Arial"/>
                <w:kern w:val="0"/>
                <w:sz w:val="18"/>
                <w:szCs w:val="18"/>
              </w:rPr>
            </w:pPr>
          </w:p>
          <w:p w14:paraId="2A9858A6">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272A3F37">
            <w:pPr>
              <w:spacing w:line="280" w:lineRule="atLeast"/>
              <w:ind w:left="4200" w:firstLine="1080" w:firstLineChars="600"/>
              <w:jc w:val="left"/>
              <w:rPr>
                <w:rFonts w:ascii="宋体" w:hAnsi="宋体" w:cs="Arial"/>
                <w:kern w:val="0"/>
                <w:sz w:val="18"/>
                <w:szCs w:val="18"/>
              </w:rPr>
            </w:pPr>
          </w:p>
          <w:p w14:paraId="71525B7C">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45826386">
            <w:pPr>
              <w:spacing w:line="280" w:lineRule="atLeast"/>
              <w:rPr>
                <w:kern w:val="0"/>
                <w:sz w:val="20"/>
                <w:szCs w:val="20"/>
              </w:rPr>
            </w:pPr>
          </w:p>
          <w:p w14:paraId="6CDA0B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0975E34E">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AE226">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0BB7C5D1">
                          <w:pPr>
                            <w:pStyle w:val="5"/>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14:paraId="0BB7C5D1">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7B929">
    <w:pPr>
      <w:pStyle w:val="6"/>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14214700">
    <w:pPr>
      <w:pStyle w:val="6"/>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Full" w:cryptAlgorithmClass="hash" w:cryptAlgorithmType="typeAny" w:cryptAlgorithmSid="4" w:cryptSpinCount="0" w:hash="2S9nD1xrxTMSbDGtKS6qCq5y5hQ=" w:salt="2hGtPGfGCQD84pU9gPPBH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F0566"/>
    <w:rsid w:val="001104E8"/>
    <w:rsid w:val="00152999"/>
    <w:rsid w:val="001C5047"/>
    <w:rsid w:val="002354DB"/>
    <w:rsid w:val="00262560"/>
    <w:rsid w:val="002B4654"/>
    <w:rsid w:val="002B4BDD"/>
    <w:rsid w:val="002B63FC"/>
    <w:rsid w:val="002C604E"/>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40FDE"/>
    <w:rsid w:val="00647B65"/>
    <w:rsid w:val="006538E1"/>
    <w:rsid w:val="00673739"/>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679D8"/>
    <w:rsid w:val="00A95D0C"/>
    <w:rsid w:val="00AD2AD0"/>
    <w:rsid w:val="00AE5AA3"/>
    <w:rsid w:val="00B06267"/>
    <w:rsid w:val="00B07DEF"/>
    <w:rsid w:val="00B35D81"/>
    <w:rsid w:val="00B3723D"/>
    <w:rsid w:val="00B71F84"/>
    <w:rsid w:val="00B73B8B"/>
    <w:rsid w:val="00B94B21"/>
    <w:rsid w:val="00BA3CE3"/>
    <w:rsid w:val="00BA71E5"/>
    <w:rsid w:val="00BB3A90"/>
    <w:rsid w:val="00BB513F"/>
    <w:rsid w:val="00BC1259"/>
    <w:rsid w:val="00BC2076"/>
    <w:rsid w:val="00BC398E"/>
    <w:rsid w:val="00BD36A3"/>
    <w:rsid w:val="00BE1A3A"/>
    <w:rsid w:val="00C0058E"/>
    <w:rsid w:val="00C01696"/>
    <w:rsid w:val="00C361E7"/>
    <w:rsid w:val="00C4233D"/>
    <w:rsid w:val="00CD0E2E"/>
    <w:rsid w:val="00D03CCD"/>
    <w:rsid w:val="00D268C3"/>
    <w:rsid w:val="00D3183A"/>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541A"/>
    <w:rsid w:val="00F1747E"/>
    <w:rsid w:val="00F34E57"/>
    <w:rsid w:val="00F54E02"/>
    <w:rsid w:val="00F57B20"/>
    <w:rsid w:val="00F8077D"/>
    <w:rsid w:val="00FD7473"/>
    <w:rsid w:val="02F62D9D"/>
    <w:rsid w:val="09B56D79"/>
    <w:rsid w:val="0E20418F"/>
    <w:rsid w:val="0F3144F8"/>
    <w:rsid w:val="13AB3552"/>
    <w:rsid w:val="158B6403"/>
    <w:rsid w:val="171B4C2E"/>
    <w:rsid w:val="1D545AC4"/>
    <w:rsid w:val="1D9858FD"/>
    <w:rsid w:val="22096686"/>
    <w:rsid w:val="23024B39"/>
    <w:rsid w:val="2F025C0E"/>
    <w:rsid w:val="38895284"/>
    <w:rsid w:val="390838BE"/>
    <w:rsid w:val="3A70325E"/>
    <w:rsid w:val="3BC56306"/>
    <w:rsid w:val="488A3E72"/>
    <w:rsid w:val="4C713ADA"/>
    <w:rsid w:val="4CFA15FA"/>
    <w:rsid w:val="4EF90050"/>
    <w:rsid w:val="53863C95"/>
    <w:rsid w:val="563E373E"/>
    <w:rsid w:val="56E2588A"/>
    <w:rsid w:val="57DA6ECF"/>
    <w:rsid w:val="59250387"/>
    <w:rsid w:val="5CDE607C"/>
    <w:rsid w:val="5D3F4EA4"/>
    <w:rsid w:val="601969DF"/>
    <w:rsid w:val="614D6115"/>
    <w:rsid w:val="61FC2316"/>
    <w:rsid w:val="6600662F"/>
    <w:rsid w:val="66965880"/>
    <w:rsid w:val="6C7A19D7"/>
    <w:rsid w:val="6E3A25F0"/>
    <w:rsid w:val="702E2F9A"/>
    <w:rsid w:val="70330189"/>
    <w:rsid w:val="7A7571B4"/>
    <w:rsid w:val="7B2471E1"/>
    <w:rsid w:val="7C16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ody Text Indent"/>
    <w:basedOn w:val="1"/>
    <w:next w:val="1"/>
    <w:unhideWhenUsed/>
    <w:qFormat/>
    <w:uiPriority w:val="99"/>
    <w:pPr>
      <w:spacing w:after="120"/>
      <w:ind w:left="420" w:leftChars="200"/>
    </w:p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10"/>
    <w:link w:val="2"/>
    <w:qFormat/>
    <w:uiPriority w:val="99"/>
    <w:rPr>
      <w:rFonts w:ascii="Calibri" w:hAnsi="Calibri" w:eastAsia="宋体" w:cs="宋体"/>
    </w:rPr>
  </w:style>
  <w:style w:type="character" w:customStyle="1" w:styleId="16">
    <w:name w:val="批注主题 Char"/>
    <w:basedOn w:val="15"/>
    <w:link w:val="7"/>
    <w:semiHidden/>
    <w:qFormat/>
    <w:uiPriority w:val="99"/>
    <w:rPr>
      <w:rFonts w:ascii="Calibri" w:hAnsi="Calibri" w:eastAsia="宋体" w:cs="宋体"/>
      <w:b/>
      <w:bCs/>
    </w:rPr>
  </w:style>
  <w:style w:type="character" w:customStyle="1" w:styleId="17">
    <w:name w:val="批注框文本 Char"/>
    <w:basedOn w:val="10"/>
    <w:link w:val="4"/>
    <w:semiHidden/>
    <w:qFormat/>
    <w:uiPriority w:val="99"/>
    <w:rPr>
      <w:rFonts w:ascii="Calibri" w:hAnsi="Calibri" w:eastAsia="宋体" w:cs="宋体"/>
      <w:sz w:val="18"/>
      <w:szCs w:val="18"/>
    </w:rPr>
  </w:style>
  <w:style w:type="paragraph" w:customStyle="1" w:styleId="18">
    <w:name w:val="修订1"/>
    <w:hidden/>
    <w:semiHidden/>
    <w:qFormat/>
    <w:uiPriority w:val="99"/>
    <w:rPr>
      <w:rFonts w:ascii="Calibri" w:hAnsi="Calibri" w:eastAsia="宋体" w:cs="宋体"/>
      <w:kern w:val="2"/>
      <w:sz w:val="21"/>
      <w:szCs w:val="22"/>
      <w:lang w:val="en-US" w:eastAsia="zh-CN" w:bidi="ar-SA"/>
    </w:rPr>
  </w:style>
  <w:style w:type="paragraph" w:customStyle="1" w:styleId="19">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5210</Words>
  <Characters>5271</Characters>
  <Lines>32</Lines>
  <Paragraphs>9</Paragraphs>
  <TotalTime>0</TotalTime>
  <ScaleCrop>false</ScaleCrop>
  <LinksUpToDate>false</LinksUpToDate>
  <CharactersWithSpaces>5363</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2024-08-28T12:38:00Z</dcterms:created>
  <dc:creator>胡骁潇</dc:creator>
  <cp:lastModifiedBy>回忆</cp:lastModifiedBy>
  <dcterms:modified xsi:type="dcterms:W3CDTF">2026-06-22T08:58:14Z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8C3451F4A9D547188BD69B541900499D</vt:lpwstr>
  </property>
  <property fmtid="{D5CDD505-2E9C-101B-9397-08002B2CF9AE}" pid="4" name="KSOTemplateDocerSaveRecord">
    <vt:lpwstr>eyJoZGlkIjoiN2FhZjg1NTVhYWExYmMxZTVkMDZiOGNmY2RiMDUxZTUiLCJ1c2VySWQiOiI0MjkxMjM2MzEifQ==</vt:lpwstr>
  </property>
</Properties>
</file>