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w:t>
      </w:r>
      <w:r>
        <w:rPr>
          <w:rFonts w:hint="eastAsia" w:ascii="楷体" w:hAnsi="楷体" w:eastAsia="楷体"/>
          <w:b/>
          <w:color w:val="auto"/>
          <w:sz w:val="28"/>
          <w:szCs w:val="28"/>
          <w:lang w:val="en-US" w:eastAsia="zh-CN"/>
        </w:rPr>
        <w:t>30</w:t>
      </w:r>
      <w:r>
        <w:rPr>
          <w:rFonts w:hint="eastAsia" w:ascii="楷体" w:hAnsi="楷体" w:eastAsia="楷体"/>
          <w:b/>
          <w:color w:val="auto"/>
          <w:sz w:val="28"/>
          <w:szCs w:val="28"/>
        </w:rPr>
        <w:t>天</w:t>
      </w:r>
      <w:r>
        <w:rPr>
          <w:rFonts w:hint="eastAsia" w:ascii="楷体" w:hAnsi="楷体" w:eastAsia="楷体"/>
          <w:b/>
          <w:color w:val="auto"/>
          <w:sz w:val="28"/>
          <w:szCs w:val="28"/>
          <w:lang w:val="en-US" w:eastAsia="zh-CN"/>
        </w:rPr>
        <w:t>10</w:t>
      </w:r>
      <w:r>
        <w:rPr>
          <w:rFonts w:hint="eastAsia" w:ascii="楷体" w:hAnsi="楷体" w:eastAsia="楷体"/>
          <w:b/>
          <w:color w:val="auto"/>
          <w:sz w:val="28"/>
          <w:szCs w:val="28"/>
        </w:rPr>
        <w:t>号”理财产品</w:t>
      </w:r>
      <w:bookmarkEnd w:id="0"/>
      <w:r>
        <w:rPr>
          <w:rFonts w:hint="eastAsia" w:ascii="楷体" w:hAnsi="楷体" w:eastAsia="楷体"/>
          <w:b/>
          <w:color w:val="auto"/>
          <w:sz w:val="28"/>
          <w:szCs w:val="28"/>
        </w:rPr>
        <w:t>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结构性存款的特殊风险</w:t>
      </w:r>
    </w:p>
    <w:p>
      <w:pPr>
        <w:numPr>
          <w:ilvl w:val="0"/>
          <w:numId w:val="0"/>
        </w:numPr>
        <w:tabs>
          <w:tab w:val="left" w:pos="742"/>
        </w:tabs>
        <w:ind w:firstLine="420" w:firstLineChars="200"/>
        <w:rPr>
          <w:rFonts w:hint="eastAsia"/>
          <w:lang w:val="en-US" w:eastAsia="zh-CN"/>
        </w:rPr>
      </w:pPr>
      <w:r>
        <w:rPr>
          <w:rFonts w:hint="eastAsia" w:ascii="楷体" w:hAnsi="楷体" w:eastAsia="楷体" w:cs="楷体"/>
          <w:color w:val="auto"/>
          <w:sz w:val="21"/>
          <w:szCs w:val="21"/>
          <w:lang w:val="en-US" w:eastAsia="zh-CN"/>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计划存续期限为10年，</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w:t>
      </w:r>
      <w:r>
        <w:rPr>
          <w:rFonts w:hint="eastAsia" w:ascii="楷体" w:hAnsi="楷体" w:eastAsia="楷体"/>
          <w:color w:val="auto"/>
          <w:sz w:val="21"/>
          <w:szCs w:val="21"/>
        </w:rPr>
        <w:t>本机构的风险承受能力评级结果为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本机构将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w:t>
      </w:r>
      <w:r>
        <w:rPr>
          <w:rFonts w:hint="eastAsia" w:ascii="楷体" w:hAnsi="楷体" w:eastAsia="楷体"/>
          <w:b/>
          <w:color w:val="auto"/>
          <w:sz w:val="21"/>
          <w:szCs w:val="21"/>
          <w:u w:val="single"/>
        </w:rPr>
        <w:t>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
      <w:pP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br w:type="page"/>
      </w:r>
    </w:p>
    <w:p>
      <w:pPr>
        <w:pStyle w:val="13"/>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恒源灵动最短持有30天10号</w:t>
      </w:r>
      <w:r>
        <w:rPr>
          <w:rFonts w:hint="eastAsia" w:ascii="楷体" w:hAnsi="楷体" w:eastAsia="楷体"/>
          <w:b/>
          <w:color w:val="auto"/>
          <w:sz w:val="28"/>
          <w:szCs w:val="28"/>
          <w:highlight w:val="none"/>
        </w:rPr>
        <w:t>”理财产品说明书</w:t>
      </w:r>
    </w:p>
    <w:p>
      <w:pPr>
        <w:pStyle w:val="13"/>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2026年5月版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5"/>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w:t>
      </w:r>
      <w:r>
        <w:rPr>
          <w:rFonts w:hint="eastAsia" w:ascii="楷体" w:hAnsi="楷体" w:eastAsia="楷体"/>
          <w:sz w:val="21"/>
          <w:szCs w:val="21"/>
          <w:highlight w:val="none"/>
          <w:lang w:eastAsia="zh-CN"/>
        </w:rPr>
        <w:t>恒源灵动最短持有30天10号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苏银理财恒源灵动最短持有30天10号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Z7003125000208，投资者可依据该编码在中国理财网www.chinawealth.com.cn查询产品信息。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A份额：苏银理财恒源灵动最短持有30天10号A/J07121</w:t>
            </w:r>
          </w:p>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F份额：苏银理财恒源灵动最短持有30天10号F/J07122</w:t>
            </w:r>
          </w:p>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w:t>
            </w:r>
            <w:r>
              <w:rPr>
                <w:rFonts w:hint="default" w:ascii="楷体" w:hAnsi="楷体" w:eastAsia="楷体" w:cs="宋体"/>
                <w:spacing w:val="-2"/>
                <w:sz w:val="18"/>
                <w:szCs w:val="18"/>
                <w:highlight w:val="none"/>
                <w:lang w:val="en-US" w:eastAsia="zh-CN"/>
              </w:rPr>
              <w:t>份额：苏银理财恒源灵动最短持有30天10号</w:t>
            </w:r>
            <w:r>
              <w:rPr>
                <w:rFonts w:hint="eastAsia" w:ascii="楷体" w:hAnsi="楷体" w:eastAsia="楷体" w:cs="宋体"/>
                <w:spacing w:val="-2"/>
                <w:sz w:val="18"/>
                <w:szCs w:val="18"/>
                <w:highlight w:val="none"/>
                <w:lang w:val="en-US" w:eastAsia="zh-CN"/>
              </w:rPr>
              <w:t>H</w:t>
            </w:r>
            <w:r>
              <w:rPr>
                <w:rFonts w:hint="default" w:ascii="楷体" w:hAnsi="楷体" w:eastAsia="楷体" w:cs="宋体"/>
                <w:spacing w:val="-2"/>
                <w:sz w:val="18"/>
                <w:szCs w:val="18"/>
                <w:highlight w:val="none"/>
                <w:lang w:val="en-US" w:eastAsia="zh-CN"/>
              </w:rPr>
              <w:t>/J20009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r>
              <w:rPr>
                <w:rFonts w:hint="eastAsia" w:ascii="楷体" w:hAnsi="楷体" w:eastAsia="楷体"/>
                <w:color w:val="auto"/>
                <w:sz w:val="18"/>
                <w:szCs w:val="18"/>
                <w:highlight w:val="none"/>
                <w:lang w:val="en-US" w:eastAsia="zh-CN"/>
              </w:rPr>
              <w:t>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2025年8月18日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lang w:eastAsia="zh-CN"/>
              </w:rPr>
              <w:t>2025年8月20日</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2025年8月21日。</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2035年12月27日。</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val="en-US" w:eastAsia="zh-CN"/>
              </w:rPr>
              <w:t>2025年8月21日-2025年9月21日，</w:t>
            </w:r>
            <w:r>
              <w:rPr>
                <w:rFonts w:hint="eastAsia" w:ascii="楷体" w:hAnsi="楷体" w:eastAsia="楷体" w:cs="宋体"/>
                <w:b/>
                <w:bCs/>
                <w:spacing w:val="-2"/>
                <w:sz w:val="18"/>
                <w:szCs w:val="18"/>
                <w:highlight w:val="none"/>
                <w:lang w:val="en-US" w:eastAsia="zh-CN"/>
              </w:rPr>
              <w:t>封闭运作期内不可申购/赎回</w:t>
            </w:r>
            <w:r>
              <w:rPr>
                <w:rFonts w:hint="eastAsia" w:ascii="楷体" w:hAnsi="楷体" w:eastAsia="楷体" w:cs="宋体"/>
                <w:spacing w:val="-2"/>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期为30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30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w:t>
            </w:r>
            <w:r>
              <w:rPr>
                <w:rFonts w:hint="eastAsia" w:ascii="楷体" w:hAnsi="楷体" w:eastAsia="楷体" w:cs="宋体"/>
                <w:b/>
                <w:bCs/>
                <w:spacing w:val="-2"/>
                <w:sz w:val="18"/>
                <w:szCs w:val="18"/>
                <w:highlight w:val="none"/>
                <w:u w:val="single"/>
                <w:lang w:eastAsia="zh-CN"/>
              </w:rPr>
              <w:t>2025年</w:t>
            </w:r>
            <w:r>
              <w:rPr>
                <w:rFonts w:hint="eastAsia" w:ascii="楷体" w:hAnsi="楷体" w:eastAsia="楷体" w:cs="宋体"/>
                <w:b/>
                <w:bCs/>
                <w:spacing w:val="-2"/>
                <w:sz w:val="18"/>
                <w:szCs w:val="18"/>
                <w:highlight w:val="none"/>
                <w:u w:val="single"/>
                <w:lang w:val="en-US" w:eastAsia="zh-CN"/>
              </w:rPr>
              <w:t>9</w:t>
            </w:r>
            <w:r>
              <w:rPr>
                <w:rFonts w:hint="eastAsia" w:ascii="楷体" w:hAnsi="楷体" w:eastAsia="楷体" w:cs="宋体"/>
                <w:b/>
                <w:bCs/>
                <w:spacing w:val="-2"/>
                <w:sz w:val="18"/>
                <w:szCs w:val="18"/>
                <w:highlight w:val="none"/>
                <w:u w:val="single"/>
                <w:lang w:eastAsia="zh-CN"/>
              </w:rPr>
              <w:t>月</w:t>
            </w:r>
            <w:r>
              <w:rPr>
                <w:rFonts w:hint="eastAsia" w:ascii="楷体" w:hAnsi="楷体" w:eastAsia="楷体" w:cs="宋体"/>
                <w:b/>
                <w:bCs/>
                <w:spacing w:val="-2"/>
                <w:sz w:val="18"/>
                <w:szCs w:val="18"/>
                <w:highlight w:val="none"/>
                <w:u w:val="single"/>
                <w:lang w:val="en-US" w:eastAsia="zh-CN"/>
              </w:rPr>
              <w:t>22</w:t>
            </w:r>
            <w:r>
              <w:rPr>
                <w:rFonts w:hint="eastAsia" w:ascii="楷体" w:hAnsi="楷体" w:eastAsia="楷体" w:cs="宋体"/>
                <w:b/>
                <w:bCs/>
                <w:spacing w:val="-2"/>
                <w:sz w:val="18"/>
                <w:szCs w:val="18"/>
                <w:highlight w:val="none"/>
                <w:u w:val="single"/>
                <w:lang w:eastAsia="zh-CN"/>
              </w:rPr>
              <w:t>日</w:t>
            </w:r>
            <w:r>
              <w:rPr>
                <w:rFonts w:hint="eastAsia" w:ascii="楷体" w:hAnsi="楷体" w:eastAsia="楷体" w:cs="宋体"/>
                <w:b/>
                <w:bCs/>
                <w:spacing w:val="-2"/>
                <w:sz w:val="18"/>
                <w:szCs w:val="18"/>
                <w:highlight w:val="none"/>
                <w:u w:val="single"/>
              </w:rPr>
              <w:t>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中债-新综合财富(1年以下)指数收益率*40%+中国人民银行公布的半年定期存款利率*60%</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0.30%。</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3.投资管理费率（年化）：0.60%</w:t>
            </w:r>
            <w:r>
              <w:rPr>
                <w:rFonts w:hint="eastAsia" w:ascii="楷体" w:hAnsi="楷体" w:eastAsia="楷体" w:cs="宋体"/>
                <w:spacing w:val="-2"/>
                <w:sz w:val="18"/>
                <w:szCs w:val="18"/>
                <w:highlight w:val="none"/>
                <w:lang w:eastAsia="zh-CN"/>
              </w:rPr>
              <w:t>。</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，产品的</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H份额：苏银理财有限责任公司</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7"/>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r>
        <w:rPr>
          <w:rFonts w:hint="eastAsia" w:ascii="楷体" w:hAnsi="楷体" w:eastAsia="楷体" w:cs="Calibri"/>
          <w:sz w:val="21"/>
          <w:szCs w:val="21"/>
          <w:highlight w:val="none"/>
          <w:lang w:eastAsia="zh-CN"/>
        </w:rPr>
        <w:t>。</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7"/>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default" w:ascii="楷体" w:hAnsi="楷体" w:eastAsia="楷体"/>
          <w:sz w:val="21"/>
          <w:szCs w:val="21"/>
          <w:highlight w:val="none"/>
          <w:lang w:val="en-US" w:eastAsia="zh-CN"/>
        </w:rPr>
      </w:pPr>
      <w:r>
        <w:rPr>
          <w:rFonts w:hint="eastAsia" w:ascii="楷体" w:hAnsi="楷体" w:eastAsia="楷体"/>
          <w:sz w:val="21"/>
          <w:szCs w:val="21"/>
          <w:highlight w:val="none"/>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r>
        <w:rPr>
          <w:rFonts w:hint="eastAsia" w:ascii="楷体" w:hAnsi="楷体" w:eastAsia="楷体"/>
          <w:sz w:val="21"/>
          <w:szCs w:val="21"/>
          <w:highlight w:val="none"/>
          <w:lang w:val="en-US"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keepNext w:val="0"/>
        <w:keepLines w:val="0"/>
        <w:pageBreakBefore w:val="0"/>
        <w:wordWrap/>
        <w:topLinePunct w:val="0"/>
        <w:autoSpaceDE/>
        <w:autoSpaceDN/>
        <w:bidi w:val="0"/>
        <w:ind w:firstLine="420" w:firstLineChars="200"/>
        <w:textAlignment w:val="auto"/>
        <w:rPr>
          <w:rFonts w:hint="default"/>
          <w:highlight w:val="none"/>
          <w:lang w:val="en-US"/>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主要投资存款、银行存单、短期限债券等资产，通过杠杆、久期、骑乘策略增厚产品收益，产品在严格控制风险和保持较高流动性的前提下，力争为广大投资者创造稳健的投资回报。</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华泰证券(上海)资产管理有限公司：华泰证券（上海）资产管理有限公司成立于2014年10月16日，系经中国证监会批准（证监许可【2014】679号），由华泰证券股份有限公司100%控股设立，注册资本26亿元。</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东方财富证券股份有限公司：东方财富证券股份有限公司，简称“东方财富证券”，是东方财富信息股份有限公司旗下的持牌证券公司，始终坚持用户第一，注重科技赋能、投研管理建设，旨在为客户提供全方位的财富管理服务。</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英大保险资产管理有限公司：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泰康资产管理有限责任公司：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润深国投信托有限公司：华润信托于1982年8月24日成立，原名为深圳市信托投资公司，注册资本人民币5,813万元。目前，公司注册资本人民币110亿元，华润金控投资有限公司持有公司51%股权，深圳市投资控股有限公司持有公司49%股权。</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1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1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4"/>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，按开放日接受投资者的申购/赎回申请，每个交易日为产品开放日（T日），其中投资者赎回份额需满足最短持有时间。开放日闭市前的申购/赎回申请当日受理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14"/>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widowControl w:val="0"/>
        <w:numPr>
          <w:ilvl w:val="0"/>
          <w:numId w:val="15"/>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keepNext w:val="0"/>
        <w:keepLines w:val="0"/>
        <w:pageBreakBefore w:val="0"/>
        <w:widowControl w:val="0"/>
        <w:numPr>
          <w:ilvl w:val="0"/>
          <w:numId w:val="15"/>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w:t>
      </w:r>
      <w:r>
        <w:rPr>
          <w:rFonts w:hint="eastAsia" w:ascii="楷体" w:hAnsi="楷体" w:eastAsia="楷体" w:cs="Calibri"/>
          <w:b w:val="0"/>
          <w:bCs/>
          <w:sz w:val="21"/>
          <w:szCs w:val="21"/>
          <w:highlight w:val="none"/>
          <w:lang w:val="en-US" w:eastAsia="zh-CN"/>
        </w:rPr>
        <w:t>T+1</w:t>
      </w:r>
      <w:r>
        <w:rPr>
          <w:rFonts w:hint="eastAsia" w:ascii="楷体" w:hAnsi="楷体" w:eastAsia="楷体" w:cs="Calibri"/>
          <w:b w:val="0"/>
          <w:bCs/>
          <w:sz w:val="21"/>
          <w:szCs w:val="21"/>
          <w:highlight w:val="none"/>
        </w:rPr>
        <w:t>日按开放日单位净值对申购/赎回申请予以统一</w:t>
      </w:r>
      <w:r>
        <w:rPr>
          <w:rFonts w:hint="eastAsia" w:ascii="楷体" w:hAnsi="楷体" w:eastAsia="楷体" w:cs="Calibri"/>
          <w:sz w:val="21"/>
          <w:szCs w:val="21"/>
          <w:highlight w:val="none"/>
        </w:rPr>
        <w:t>确认。</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14"/>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4"/>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4"/>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4"/>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wordWrap/>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wordWrap/>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7"/>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7"/>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ordWrap/>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ordWrap/>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20"/>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20"/>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21"/>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2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2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21"/>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p>
      <w:pPr>
        <w:rPr>
          <w:rFonts w:hint="eastAsia" w:ascii="楷体" w:hAnsi="楷体" w:eastAsia="楷体"/>
          <w:b/>
          <w:sz w:val="28"/>
          <w:szCs w:val="28"/>
        </w:rPr>
      </w:pPr>
      <w:r>
        <w:rPr>
          <w:rFonts w:hint="eastAsia" w:ascii="楷体" w:hAnsi="楷体" w:eastAsia="楷体"/>
          <w:b/>
          <w:sz w:val="28"/>
          <w:szCs w:val="28"/>
        </w:rPr>
        <w:br w:type="page"/>
      </w:r>
    </w:p>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25"/>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2050"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2051"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2052"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2049"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7">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2D42F757"/>
    <w:multiLevelType w:val="singleLevel"/>
    <w:tmpl w:val="2D42F757"/>
    <w:lvl w:ilvl="0" w:tentative="0">
      <w:start w:val="2"/>
      <w:numFmt w:val="chineseCounting"/>
      <w:suff w:val="nothing"/>
      <w:lvlText w:val="（%1）"/>
      <w:lvlJc w:val="left"/>
      <w:rPr>
        <w:rFonts w:hint="eastAsia"/>
        <w:b/>
        <w:bCs/>
      </w:rPr>
    </w:lvl>
  </w:abstractNum>
  <w:abstractNum w:abstractNumId="15">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6">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8">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20">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557CABA9"/>
    <w:multiLevelType w:val="multilevel"/>
    <w:tmpl w:val="557CABA9"/>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8"/>
  </w:num>
  <w:num w:numId="2">
    <w:abstractNumId w:val="2"/>
  </w:num>
  <w:num w:numId="3">
    <w:abstractNumId w:val="22"/>
  </w:num>
  <w:num w:numId="4">
    <w:abstractNumId w:val="8"/>
  </w:num>
  <w:num w:numId="5">
    <w:abstractNumId w:val="17"/>
  </w:num>
  <w:num w:numId="6">
    <w:abstractNumId w:val="20"/>
  </w:num>
  <w:num w:numId="7">
    <w:abstractNumId w:val="5"/>
  </w:num>
  <w:num w:numId="8">
    <w:abstractNumId w:val="4"/>
  </w:num>
  <w:num w:numId="9">
    <w:abstractNumId w:val="12"/>
  </w:num>
  <w:num w:numId="10">
    <w:abstractNumId w:val="7"/>
  </w:num>
  <w:num w:numId="11">
    <w:abstractNumId w:val="6"/>
  </w:num>
  <w:num w:numId="12">
    <w:abstractNumId w:val="19"/>
  </w:num>
  <w:num w:numId="13">
    <w:abstractNumId w:val="23"/>
  </w:num>
  <w:num w:numId="14">
    <w:abstractNumId w:val="11"/>
  </w:num>
  <w:num w:numId="15">
    <w:abstractNumId w:val="21"/>
  </w:num>
  <w:num w:numId="16">
    <w:abstractNumId w:val="13"/>
  </w:num>
  <w:num w:numId="17">
    <w:abstractNumId w:val="1"/>
  </w:num>
  <w:num w:numId="18">
    <w:abstractNumId w:val="0"/>
  </w:num>
  <w:num w:numId="19">
    <w:abstractNumId w:val="24"/>
  </w:num>
  <w:num w:numId="20">
    <w:abstractNumId w:val="15"/>
  </w:num>
  <w:num w:numId="21">
    <w:abstractNumId w:val="3"/>
  </w:num>
  <w:num w:numId="22">
    <w:abstractNumId w:val="16"/>
  </w:num>
  <w:num w:numId="23">
    <w:abstractNumId w:val="9"/>
  </w:num>
  <w:num w:numId="24">
    <w:abstractNumId w:val="1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151DF"/>
    <w:rsid w:val="59B15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5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54"/>
    <w:unhideWhenUsed/>
    <w:qFormat/>
    <w:uiPriority w:val="99"/>
    <w:pPr>
      <w:ind w:left="100" w:leftChars="2500"/>
    </w:pPr>
  </w:style>
  <w:style w:type="paragraph" w:styleId="8">
    <w:name w:val="Balloon Text"/>
    <w:basedOn w:val="1"/>
    <w:link w:val="55"/>
    <w:unhideWhenUsed/>
    <w:qFormat/>
    <w:uiPriority w:val="99"/>
    <w:rPr>
      <w:kern w:val="0"/>
      <w:sz w:val="18"/>
      <w:szCs w:val="18"/>
    </w:rPr>
  </w:style>
  <w:style w:type="paragraph" w:styleId="9">
    <w:name w:val="footer"/>
    <w:basedOn w:val="1"/>
    <w:link w:val="56"/>
    <w:unhideWhenUsed/>
    <w:qFormat/>
    <w:uiPriority w:val="99"/>
    <w:pPr>
      <w:tabs>
        <w:tab w:val="center" w:pos="4153"/>
        <w:tab w:val="right" w:pos="8306"/>
      </w:tabs>
      <w:snapToGrid w:val="0"/>
      <w:jc w:val="left"/>
    </w:pPr>
    <w:rPr>
      <w:kern w:val="0"/>
      <w:sz w:val="18"/>
      <w:szCs w:val="18"/>
    </w:rPr>
  </w:style>
  <w:style w:type="paragraph" w:styleId="10">
    <w:name w:val="header"/>
    <w:basedOn w:val="1"/>
    <w:link w:val="5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Times New Roman"/>
      <w:b/>
      <w:bCs/>
      <w:kern w:val="0"/>
      <w:sz w:val="36"/>
      <w:szCs w:val="36"/>
    </w:rPr>
  </w:style>
  <w:style w:type="character" w:customStyle="1" w:styleId="39">
    <w:name w:val="标题 2 字符1"/>
    <w:link w:val="4"/>
    <w:qFormat/>
    <w:uiPriority w:val="9"/>
    <w:rPr>
      <w:rFonts w:ascii="Cambria" w:hAnsi="Cambria" w:eastAsia="宋体" w:cs="Times New Roman"/>
      <w:b/>
      <w:bCs/>
      <w:kern w:val="0"/>
      <w:sz w:val="32"/>
      <w:szCs w:val="32"/>
    </w:rPr>
  </w:style>
  <w:style w:type="character" w:customStyle="1" w:styleId="40">
    <w:name w:val="标题 3 字符1"/>
    <w:link w:val="5"/>
    <w:qFormat/>
    <w:uiPriority w:val="1"/>
    <w:rPr>
      <w:rFonts w:ascii="宋体" w:hAnsi="Times New Roman" w:eastAsia="宋体" w:cs="Times New Roman"/>
      <w:b/>
      <w:bCs/>
      <w:kern w:val="0"/>
      <w:sz w:val="20"/>
      <w:szCs w:val="21"/>
    </w:rPr>
  </w:style>
  <w:style w:type="character" w:customStyle="1" w:styleId="41">
    <w:name w:val="批注文字 字符1"/>
    <w:link w:val="6"/>
    <w:qFormat/>
    <w:uiPriority w:val="99"/>
    <w:rPr>
      <w:rFonts w:ascii="Times New Roman" w:hAnsi="Times New Roman" w:eastAsia="宋体" w:cs="Times New Roman"/>
    </w:rPr>
  </w:style>
  <w:style w:type="character" w:customStyle="1" w:styleId="42">
    <w:name w:val="正文文本 字符1"/>
    <w:link w:val="2"/>
    <w:qFormat/>
    <w:uiPriority w:val="1"/>
    <w:rPr>
      <w:rFonts w:ascii="宋体" w:hAnsi="Times New Roman" w:eastAsia="宋体" w:cs="Times New Roman"/>
      <w:kern w:val="0"/>
      <w:sz w:val="2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kern w:val="0"/>
      <w:sz w:val="18"/>
      <w:szCs w:val="18"/>
    </w:rPr>
  </w:style>
  <w:style w:type="character" w:customStyle="1" w:styleId="45">
    <w:name w:val="页脚 字符1"/>
    <w:link w:val="9"/>
    <w:qFormat/>
    <w:uiPriority w:val="99"/>
    <w:rPr>
      <w:rFonts w:ascii="Times New Roman" w:hAnsi="Times New Roman" w:eastAsia="宋体" w:cs="Times New Roman"/>
      <w:kern w:val="0"/>
      <w:sz w:val="18"/>
      <w:szCs w:val="18"/>
    </w:rPr>
  </w:style>
  <w:style w:type="character" w:customStyle="1" w:styleId="46">
    <w:name w:val="页眉 字符1"/>
    <w:link w:val="10"/>
    <w:qFormat/>
    <w:uiPriority w:val="99"/>
    <w:rPr>
      <w:rFonts w:ascii="Times New Roman" w:hAnsi="Times New Roman" w:eastAsia="宋体" w:cs="Times New Roman"/>
      <w:kern w:val="0"/>
      <w:sz w:val="18"/>
      <w:szCs w:val="18"/>
    </w:rPr>
  </w:style>
  <w:style w:type="character" w:customStyle="1" w:styleId="47">
    <w:name w:val="脚注文本 字符2"/>
    <w:link w:val="11"/>
    <w:semiHidden/>
    <w:qFormat/>
    <w:uiPriority w:val="99"/>
    <w:rPr>
      <w:rFonts w:ascii="Times New Roman" w:hAnsi="Times New Roman" w:eastAsia="宋体" w:cs="Times New Roman"/>
      <w:sz w:val="18"/>
      <w:szCs w:val="18"/>
    </w:rPr>
  </w:style>
  <w:style w:type="character" w:customStyle="1" w:styleId="48">
    <w:name w:val="批注主题 字符1"/>
    <w:link w:val="14"/>
    <w:semiHidden/>
    <w:qFormat/>
    <w:uiPriority w:val="99"/>
    <w:rPr>
      <w:rFonts w:ascii="Times New Roman" w:hAnsi="Times New Roman" w:eastAsia="宋体" w:cs="Times New Roman"/>
      <w:b/>
      <w:bCs/>
    </w:rPr>
  </w:style>
  <w:style w:type="character" w:customStyle="1" w:styleId="49">
    <w:name w:val="正文文本 Char"/>
    <w:link w:val="2"/>
    <w:qFormat/>
    <w:uiPriority w:val="1"/>
    <w:rPr>
      <w:rFonts w:ascii="宋体" w:hAnsi="Times New Roman" w:eastAsia="宋体" w:cs="宋体"/>
      <w:kern w:val="0"/>
      <w:szCs w:val="21"/>
    </w:rPr>
  </w:style>
  <w:style w:type="character" w:customStyle="1" w:styleId="50">
    <w:name w:val="标题 1 Char"/>
    <w:link w:val="3"/>
    <w:qFormat/>
    <w:uiPriority w:val="1"/>
    <w:rPr>
      <w:rFonts w:ascii="黑体" w:hAnsi="Times New Roman" w:eastAsia="黑体" w:cs="黑体"/>
      <w:b/>
      <w:bCs/>
      <w:kern w:val="0"/>
      <w:sz w:val="36"/>
      <w:szCs w:val="36"/>
    </w:rPr>
  </w:style>
  <w:style w:type="character" w:customStyle="1" w:styleId="51">
    <w:name w:val="标题 2 Char"/>
    <w:link w:val="4"/>
    <w:qFormat/>
    <w:uiPriority w:val="9"/>
    <w:rPr>
      <w:rFonts w:ascii="Cambria" w:hAnsi="Cambria" w:eastAsia="宋体" w:cs="Times New Roman"/>
      <w:b/>
      <w:bCs/>
      <w:sz w:val="32"/>
      <w:szCs w:val="32"/>
    </w:rPr>
  </w:style>
  <w:style w:type="character" w:customStyle="1" w:styleId="52">
    <w:name w:val="标题 3 Char"/>
    <w:link w:val="5"/>
    <w:qFormat/>
    <w:uiPriority w:val="1"/>
    <w:rPr>
      <w:rFonts w:ascii="宋体" w:hAnsi="Times New Roman" w:eastAsia="宋体" w:cs="宋体"/>
      <w:b/>
      <w:bCs/>
      <w:kern w:val="0"/>
      <w:szCs w:val="21"/>
    </w:rPr>
  </w:style>
  <w:style w:type="character" w:customStyle="1" w:styleId="53">
    <w:name w:val="批注文字 Char"/>
    <w:link w:val="6"/>
    <w:qFormat/>
    <w:uiPriority w:val="99"/>
    <w:rPr>
      <w:rFonts w:ascii="Times New Roman" w:hAnsi="Times New Roman" w:eastAsia="宋体" w:cs="Times New Roman"/>
      <w:kern w:val="2"/>
      <w:sz w:val="21"/>
      <w:szCs w:val="22"/>
    </w:rPr>
  </w:style>
  <w:style w:type="character" w:customStyle="1" w:styleId="54">
    <w:name w:val="日期 Char"/>
    <w:basedOn w:val="17"/>
    <w:link w:val="7"/>
    <w:semiHidden/>
    <w:qFormat/>
    <w:uiPriority w:val="99"/>
    <w:rPr>
      <w:rFonts w:ascii="Times New Roman" w:hAnsi="Times New Roman" w:eastAsia="宋体" w:cs="Times New Roman"/>
    </w:rPr>
  </w:style>
  <w:style w:type="character" w:customStyle="1" w:styleId="55">
    <w:name w:val="批注框文本 Char"/>
    <w:link w:val="8"/>
    <w:semiHidden/>
    <w:qFormat/>
    <w:uiPriority w:val="99"/>
    <w:rPr>
      <w:rFonts w:ascii="Times New Roman" w:hAnsi="Times New Roman" w:eastAsia="宋体" w:cs="Times New Roman"/>
      <w:sz w:val="18"/>
      <w:szCs w:val="18"/>
    </w:rPr>
  </w:style>
  <w:style w:type="character" w:customStyle="1" w:styleId="56">
    <w:name w:val="页脚 Char"/>
    <w:link w:val="9"/>
    <w:qFormat/>
    <w:uiPriority w:val="99"/>
    <w:rPr>
      <w:rFonts w:ascii="Times New Roman" w:hAnsi="Times New Roman" w:eastAsia="宋体" w:cs="Times New Roman"/>
      <w:sz w:val="18"/>
      <w:szCs w:val="18"/>
    </w:rPr>
  </w:style>
  <w:style w:type="character" w:customStyle="1" w:styleId="57">
    <w:name w:val="页眉 Char"/>
    <w:link w:val="10"/>
    <w:qFormat/>
    <w:uiPriority w:val="99"/>
    <w:rPr>
      <w:rFonts w:ascii="Times New Roman" w:hAnsi="Times New Roman" w:eastAsia="宋体" w:cs="Times New Roman"/>
      <w:sz w:val="18"/>
      <w:szCs w:val="18"/>
    </w:rPr>
  </w:style>
  <w:style w:type="character" w:customStyle="1" w:styleId="58">
    <w:name w:val="脚注文本 Char"/>
    <w:link w:val="11"/>
    <w:qFormat/>
    <w:uiPriority w:val="99"/>
    <w:rPr>
      <w:rFonts w:ascii="Times New Roman" w:hAnsi="Times New Roman" w:eastAsia="宋体" w:cs="Times New Roman"/>
      <w:kern w:val="2"/>
      <w:sz w:val="18"/>
      <w:szCs w:val="18"/>
    </w:rPr>
  </w:style>
  <w:style w:type="character" w:customStyle="1" w:styleId="59">
    <w:name w:val="批注主题 Char"/>
    <w:link w:val="14"/>
    <w:semiHidden/>
    <w:qFormat/>
    <w:uiPriority w:val="99"/>
    <w:rPr>
      <w:rFonts w:ascii="Times New Roman" w:hAnsi="Times New Roman" w:eastAsia="宋体" w:cs="Times New Roman"/>
      <w:b/>
      <w:bCs/>
      <w:kern w:val="2"/>
      <w:sz w:val="21"/>
      <w:szCs w:val="22"/>
    </w:rPr>
  </w:style>
  <w:style w:type="paragraph" w:customStyle="1" w:styleId="60">
    <w:name w:val="_Style 34"/>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21814</Words>
  <Characters>22616</Characters>
  <Lines>243</Lines>
  <Paragraphs>68</Paragraphs>
  <TotalTime>30</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2026-05-18T02:36:01Z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