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ascii="楷体" w:hAnsi="楷体" w:cs="楷体" w:eastAsia="楷体"/>
                <w:b w:val="false"/>
                <w:i w:val="false"/>
                <w:color w:val=""/>
                <w:sz w:val="20"/>
                <w:u w:val="none"/>
              </w:rPr>
              <w:t>苏银理财恒源灵动最短持有30天10号</w:t>
              <w:br/>
            </w:r>
            <w:r>
              <w:rPr>
                <w:rFonts w:ascii="楷体" w:hAnsi="楷体" w:cs="楷体" w:eastAsia="楷体"/>
                <w:b w:val="false"/>
                <w:i w:val="false"/>
                <w:color w:val=""/>
                <w:sz w:val="20"/>
                <w:u w:val="none"/>
              </w:rPr>
              <w:t>A份额：苏银理财恒源灵动最短持有30天10号A/J07121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cs="楷体" w:eastAsia="楷体"/>
                <w:b w:val="false"/>
                <w:i w:val="false"/>
                <w:color w:val=""/>
                <w:sz w:val="20"/>
                <w:u w:val="none"/>
              </w:rPr>
              <w:t>Z7003125000208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cs="楷体" w:eastAsia="楷体"/>
                <w:b w:val="false"/>
                <w:i w:val="false"/>
                <w:color w:val=""/>
                <w:sz w:val="20"/>
                <w:u w:val="non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ascii="楷体" w:hAnsi="楷体" w:cs="楷体" w:eastAsia="楷体"/>
                <w:b w:val="false"/>
                <w:i w:val="false"/>
                <w:color w:val=""/>
                <w:sz w:val="20"/>
                <w:u w:val="none"/>
              </w:rPr>
              <w:t>2025年8月18日至2025年8月20日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cs="楷体" w:eastAsia="楷体"/>
                <w:b w:val="false"/>
                <w:i w:val="false"/>
                <w:color w:val=""/>
                <w:sz w:val="20"/>
                <w:u w:val="none"/>
              </w:rPr>
              <w:t>2025年8月21日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bookmarkStart w:id="0" w:name="_GoBack"/>
            <w:bookmarkEnd w:id="0"/>
            <w:r>
              <w:rPr>
                <w:rFonts w:ascii="楷体" w:hAnsi="楷体" w:cs="楷体" w:eastAsia="楷体"/>
                <w:b w:val="false"/>
                <w:i w:val="false"/>
                <w:color w:val=""/>
                <w:sz w:val="20"/>
                <w:u w:val="none"/>
              </w:rPr>
              <w:t>2035年12月27日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cs="楷体" w:eastAsia="楷体"/>
                <w:b w:val="false"/>
                <w:i w:val="false"/>
                <w:color w:val=""/>
                <w:sz w:val="20"/>
                <w:u w:val="none"/>
              </w:rPr>
              <w:t>3780天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ascii="楷体" w:hAnsi="楷体" w:cs="楷体" w:eastAsia="楷体"/>
                <w:b w:val="false"/>
                <w:i w:val="false"/>
                <w:color w:val=""/>
                <w:sz w:val="20"/>
                <w:u w:val="none"/>
              </w:rPr>
              <w:t>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cs="楷体" w:eastAsia="楷体"/>
                <w:b w:val="false"/>
                <w:i w:val="false"/>
                <w:color w:val=""/>
                <w:sz w:val="20"/>
                <w:u w:val="none"/>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ascii="楷体" w:hAnsi="楷体" w:cs="楷体" w:eastAsia="楷体"/>
                <w:b w:val="false"/>
                <w:i w:val="false"/>
                <w:color w:val=""/>
                <w:sz w:val="20"/>
                <w:u w:val="none"/>
              </w:rPr>
              <w:t>投资范围：本理财产品直接或间接投资于现金、银行存款、债券回购、中央银行票据、同业存单、拆借、货币市场基金、债券、在银行间市场和证券交易所市场发行的资产支持证券和监管机构允许投资的其他资产（如纳入权益类资产核算的永续债等，不含金融衍生品）。具体资产投资比例为：固定收益类资产占产品资产总值比例不低于80%，其他符合监管要求的资产占产品资产总值比例不高于20%。</w:t>
              <w:br/>
            </w:r>
            <w:r>
              <w:rPr>
                <w:rFonts w:ascii="楷体" w:hAnsi="楷体" w:cs="楷体" w:eastAsia="楷体"/>
                <w:b w:val="false"/>
                <w:i w:val="false"/>
                <w:color w:val=""/>
                <w:sz w:val="20"/>
                <w:u w:val="none"/>
              </w:rPr>
              <w:t>其中现金或者到期日在一年以内的国债、中央银行票据和政策性金融债券不低于产品净资产的5%。流动性受限资产的市值在开放日不得超过该产品资产净值的15%。7个工作日可变现资产的可变现价值不低于该产品资产净值的10%。</w:t>
              <w:br/>
            </w:r>
            <w:r>
              <w:rPr>
                <w:rFonts w:ascii="楷体" w:hAnsi="楷体" w:cs="楷体" w:eastAsia="楷体"/>
                <w:b w:val="false"/>
                <w:i w:val="false"/>
                <w:color w:val=""/>
                <w:sz w:val="20"/>
                <w:u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ascii="楷体" w:hAnsi="楷体" w:cs="楷体" w:eastAsia="楷体"/>
                <w:b w:val="false"/>
                <w:i w:val="false"/>
                <w:color w:val=""/>
                <w:sz w:val="20"/>
                <w:u w:val="none"/>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ascii="楷体" w:hAnsi="楷体" w:cs="楷体" w:eastAsia="楷体"/>
                <w:b w:val="false"/>
                <w:i w:val="false"/>
                <w:color w:val=""/>
                <w:sz w:val="20"/>
                <w:u w:val="none"/>
              </w:rPr>
              <w:t>A份额：0.2%/年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ascii="楷体" w:hAnsi="楷体" w:cs="楷体" w:eastAsia="楷体"/>
                <w:b w:val="false"/>
                <w:i w:val="false"/>
                <w:color w:val=""/>
                <w:sz w:val="20"/>
                <w:u w:val="none"/>
              </w:rPr>
              <w:t>中债-新综合财富(1年以下)指数收益率*40%+中国人民银行公布的半年定期存款利率*60%，2025年8月21日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ascii="楷体" w:hAnsi="楷体" w:cs="楷体" w:eastAsia="楷体"/>
                <w:b w:val="false"/>
                <w:i w:val="false"/>
                <w:color w:val=""/>
                <w:sz w:val="20"/>
                <w:u w:val="none"/>
              </w:rPr>
              <w:t>户名：苏银理财有限责任公司</w:t>
              <w:br/>
            </w:r>
            <w:r>
              <w:rPr>
                <w:rFonts w:ascii="楷体" w:hAnsi="楷体" w:cs="楷体" w:eastAsia="楷体"/>
                <w:b w:val="false"/>
                <w:i w:val="false"/>
                <w:color w:val=""/>
                <w:sz w:val="20"/>
                <w:u w:val="none"/>
              </w:rPr>
              <w:t>开户行：江苏银行南京河西支行</w:t>
              <w:br/>
            </w:r>
            <w:r>
              <w:rPr>
                <w:rFonts w:ascii="楷体" w:hAnsi="楷体" w:cs="楷体" w:eastAsia="楷体"/>
                <w:b w:val="false"/>
                <w:i w:val="false"/>
                <w:color w:val=""/>
                <w:sz w:val="20"/>
                <w:u w:val="none"/>
              </w:rPr>
              <w:t>账号：31120188000183568</w:t>
              <w:br/>
            </w:r>
            <w:r>
              <w:rPr>
                <w:rFonts w:ascii="楷体" w:hAnsi="楷体" w:cs="楷体" w:eastAsia="楷体"/>
                <w:b w:val="false"/>
                <w:i w:val="false"/>
                <w:color w:val=""/>
                <w:sz w:val="20"/>
                <w:u w:val="none"/>
              </w:rPr>
              <w:t>大额支付系统行号：313301098112</w:t>
              <w:br/>
            </w:r>
            <w:r>
              <w:rPr>
                <w:rFonts w:ascii="楷体" w:hAnsi="楷体" w:cs="楷体" w:eastAsia="楷体"/>
                <w:b w:val="false"/>
                <w:i w:val="false"/>
                <w:color w:val=""/>
                <w:sz w:val="20"/>
                <w:u w:val="none"/>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notes.xml" Type="http://schemas.openxmlformats.org/officeDocument/2006/relationships/footnotes"/><Relationship Id="rId4" Target="endnotes.xml" Type="http://schemas.openxmlformats.org/officeDocument/2006/relationships/endnotes"/><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9</TotalTime>
  <ScaleCrop>false</ScaleCrop>
  <LinksUpToDate>false</LinksUpToDate>
  <CharactersWithSpaces>838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2022-05-25T01:21:00Z</dcterms:created>
  <dc:creator>cyx</dc:creator>
  <cp:lastModifiedBy>User</cp:lastModifiedBy>
  <cp:lastPrinted>2022-11-07T01:50:00Z</cp:lastPrinted>
  <dcterms:modified xsi:type="dcterms:W3CDTF">2025-07-04T07:47:53Z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2052-11.8.2.10321</vt:lpwstr>
  </property>
  <property fmtid="{D5CDD505-2E9C-101B-9397-08002B2CF9AE}" pid="4" name="ICV">
    <vt:lpwstr>D1FABE1D99244126A82E4C98837F3785</vt:lpwstr>
  </property>
</Properties>
</file>