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bookmarkStart w:id="0" w:name="_GoBack"/>
      <w:r>
        <w:rPr>
          <w:rFonts w:hint="eastAsia" w:ascii="楷体" w:hAnsi="楷体" w:eastAsia="楷体"/>
          <w:b/>
          <w:color w:val="auto"/>
          <w:sz w:val="28"/>
          <w:szCs w:val="28"/>
        </w:rPr>
        <w:t>“</w:t>
      </w:r>
      <w:r>
        <w:rPr>
          <w:rFonts w:hint="eastAsia" w:ascii="楷体" w:hAnsi="楷体" w:eastAsia="楷体"/>
          <w:b/>
          <w:color w:val="auto"/>
          <w:sz w:val="28"/>
          <w:szCs w:val="28"/>
          <w:lang w:val="en-US" w:eastAsia="zh-CN"/>
        </w:rPr>
        <w:t>苏银理财</w:t>
      </w:r>
      <w:r>
        <w:rPr>
          <w:rFonts w:hint="eastAsia" w:ascii="楷体" w:hAnsi="楷体" w:eastAsia="楷体"/>
          <w:b/>
          <w:color w:val="auto"/>
          <w:sz w:val="28"/>
          <w:szCs w:val="28"/>
        </w:rPr>
        <w:t>恒源</w:t>
      </w:r>
      <w:r>
        <w:rPr>
          <w:rFonts w:hint="eastAsia" w:ascii="楷体" w:hAnsi="楷体" w:eastAsia="楷体"/>
          <w:b/>
          <w:color w:val="auto"/>
          <w:sz w:val="28"/>
          <w:szCs w:val="28"/>
          <w:lang w:val="en-US" w:eastAsia="zh-CN"/>
        </w:rPr>
        <w:t>天添鑫16</w:t>
      </w:r>
      <w:r>
        <w:rPr>
          <w:rFonts w:hint="eastAsia" w:ascii="楷体" w:hAnsi="楷体" w:eastAsia="楷体"/>
          <w:b/>
          <w:color w:val="auto"/>
          <w:sz w:val="28"/>
          <w:szCs w:val="28"/>
        </w:rPr>
        <w:t>号”理财产品</w:t>
      </w:r>
      <w:bookmarkEnd w:id="0"/>
      <w:r>
        <w:rPr>
          <w:rFonts w:hint="eastAsia" w:ascii="楷体" w:hAnsi="楷体" w:eastAsia="楷体"/>
          <w:b/>
          <w:color w:val="auto"/>
          <w:sz w:val="28"/>
          <w:szCs w:val="28"/>
        </w:rPr>
        <w:t>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spacing w:line="240" w:lineRule="atLeast"/>
        <w:ind w:left="0" w:leftChars="0" w:firstLine="482" w:firstLineChars="200"/>
        <w:textAlignment w:val="auto"/>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spacing w:line="240" w:lineRule="atLeast"/>
        <w:ind w:left="0" w:leftChars="0" w:firstLine="422" w:firstLineChars="200"/>
        <w:textAlignment w:val="auto"/>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keepNext w:val="0"/>
        <w:keepLines w:val="0"/>
        <w:pageBreakBefore w:val="0"/>
        <w:widowControl w:val="0"/>
        <w:numPr>
          <w:ilvl w:val="0"/>
          <w:numId w:val="2"/>
        </w:numPr>
        <w:tabs>
          <w:tab w:val="left" w:pos="993"/>
          <w:tab w:val="clear" w:pos="0"/>
        </w:tabs>
        <w:kinsoku/>
        <w:wordWrap/>
        <w:overflowPunct/>
        <w:topLinePunct w:val="0"/>
        <w:autoSpaceDE/>
        <w:autoSpaceDN/>
        <w:bidi w:val="0"/>
        <w:adjustRightInd/>
        <w:snapToGrid/>
        <w:ind w:left="0" w:leftChars="0" w:firstLine="422" w:firstLineChars="200"/>
        <w:textAlignment w:val="auto"/>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0" w:firstLineChars="200"/>
        <w:rPr>
          <w:rFonts w:hint="eastAsia" w:ascii="楷体" w:hAnsi="楷体" w:eastAsia="楷体"/>
          <w:b/>
          <w:bCs w:val="0"/>
          <w:color w:val="auto"/>
          <w:sz w:val="21"/>
          <w:szCs w:val="21"/>
        </w:rPr>
      </w:pPr>
      <w:r>
        <w:rPr>
          <w:rFonts w:hint="default" w:ascii="楷体" w:hAnsi="楷体" w:eastAsia="楷体"/>
          <w:b w:val="0"/>
          <w:bCs/>
          <w:color w:val="auto"/>
          <w:sz w:val="21"/>
          <w:szCs w:val="21"/>
        </w:rPr>
        <w:t>①</w:t>
      </w:r>
      <w:r>
        <w:rPr>
          <w:rFonts w:hint="eastAsia" w:ascii="楷体" w:hAnsi="楷体" w:eastAsia="楷体"/>
          <w:b w:val="0"/>
          <w:bCs/>
          <w:color w:val="auto"/>
          <w:sz w:val="21"/>
          <w:szCs w:val="21"/>
        </w:rPr>
        <w:t>国家货币政策、财政政策、产业政策等的变化对证券市场产生一定的影响，导致市场价格水平波动的风险。</w:t>
      </w:r>
      <w:r>
        <w:rPr>
          <w:rFonts w:hint="default" w:ascii="楷体" w:hAnsi="楷体" w:eastAsia="楷体"/>
          <w:b w:val="0"/>
          <w:bCs/>
          <w:color w:val="auto"/>
          <w:sz w:val="21"/>
          <w:szCs w:val="21"/>
        </w:rPr>
        <w:t>②</w:t>
      </w:r>
      <w:r>
        <w:rPr>
          <w:rFonts w:hint="eastAsia" w:ascii="楷体" w:hAnsi="楷体" w:eastAsia="楷体"/>
          <w:b w:val="0"/>
          <w:bCs/>
          <w:color w:val="auto"/>
          <w:sz w:val="21"/>
          <w:szCs w:val="21"/>
        </w:rPr>
        <w:t>宏观经济运行周期性波动，对股票市场的收益水平产生影响的风险。</w:t>
      </w:r>
      <w:r>
        <w:rPr>
          <w:rFonts w:hint="default" w:ascii="楷体" w:hAnsi="楷体" w:eastAsia="楷体"/>
          <w:b w:val="0"/>
          <w:bCs/>
          <w:color w:val="auto"/>
          <w:sz w:val="21"/>
          <w:szCs w:val="21"/>
        </w:rPr>
        <w:t>③</w:t>
      </w:r>
      <w:r>
        <w:rPr>
          <w:rFonts w:hint="eastAsia" w:ascii="楷体" w:hAnsi="楷体" w:eastAsia="楷体"/>
          <w:b w:val="0"/>
          <w:bCs/>
          <w:color w:val="auto"/>
          <w:sz w:val="21"/>
          <w:szCs w:val="21"/>
        </w:rPr>
        <w:t>上市公司的经营状况受多种因素影响，如市场、技术、竞争、管理、财务等都会导致公司盈利发生变化，从而导致股票价格变动的风险。</w:t>
      </w:r>
    </w:p>
    <w:p>
      <w:pPr>
        <w:keepNext w:val="0"/>
        <w:keepLines w:val="0"/>
        <w:pageBreakBefore w:val="0"/>
        <w:widowControl w:val="0"/>
        <w:numPr>
          <w:ilvl w:val="0"/>
          <w:numId w:val="3"/>
        </w:numPr>
        <w:tabs>
          <w:tab w:val="left" w:pos="742"/>
        </w:tabs>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keepNext w:val="0"/>
        <w:keepLines w:val="0"/>
        <w:pageBreakBefore w:val="0"/>
        <w:widowControl w:val="0"/>
        <w:numPr>
          <w:ilvl w:val="0"/>
          <w:numId w:val="1"/>
        </w:numPr>
        <w:tabs>
          <w:tab w:val="left" w:pos="1134"/>
        </w:tabs>
        <w:kinsoku/>
        <w:wordWrap/>
        <w:overflowPunct/>
        <w:topLinePunct w:val="0"/>
        <w:autoSpaceDE/>
        <w:autoSpaceDN/>
        <w:bidi w:val="0"/>
        <w:adjustRightInd/>
        <w:snapToGrid/>
        <w:ind w:left="0" w:leftChars="0" w:firstLine="482" w:firstLineChars="200"/>
        <w:textAlignment w:val="auto"/>
        <w:rPr>
          <w:rFonts w:ascii="楷体" w:hAnsi="楷体" w:eastAsia="楷体"/>
          <w:b/>
          <w:color w:val="auto"/>
          <w:sz w:val="24"/>
          <w:szCs w:val="24"/>
        </w:rPr>
      </w:pPr>
      <w:r>
        <w:rPr>
          <w:rFonts w:hint="eastAsia" w:ascii="楷体" w:hAnsi="楷体" w:eastAsia="楷体"/>
          <w:b/>
          <w:color w:val="auto"/>
          <w:sz w:val="24"/>
          <w:szCs w:val="24"/>
        </w:rPr>
        <w:t>投资者提示</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2" w:firstLineChars="200"/>
        <w:textAlignment w:val="auto"/>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keepNext w:val="0"/>
        <w:keepLines w:val="0"/>
        <w:pageBreakBefore w:val="0"/>
        <w:widowControl w:val="0"/>
        <w:numPr>
          <w:ilvl w:val="0"/>
          <w:numId w:val="4"/>
        </w:numPr>
        <w:tabs>
          <w:tab w:val="left" w:pos="742"/>
        </w:tabs>
        <w:kinsoku/>
        <w:wordWrap/>
        <w:overflowPunct/>
        <w:topLinePunct w:val="0"/>
        <w:autoSpaceDE/>
        <w:autoSpaceDN/>
        <w:bidi w:val="0"/>
        <w:adjustRightInd/>
        <w:snapToGrid/>
        <w:ind w:left="0" w:leftChars="0" w:firstLine="420" w:firstLineChars="200"/>
        <w:textAlignment w:val="auto"/>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rPr>
          <w:rFonts w:hint="eastAsia" w:ascii="楷体" w:hAnsi="楷体" w:eastAsia="楷体"/>
          <w:b/>
          <w:color w:val="auto"/>
          <w:sz w:val="28"/>
          <w:szCs w:val="28"/>
        </w:rPr>
      </w:pPr>
      <w:r>
        <w:rPr>
          <w:rFonts w:hint="eastAsia" w:ascii="楷体" w:hAnsi="楷体" w:eastAsia="楷体"/>
          <w:b/>
          <w:color w:val="auto"/>
          <w:sz w:val="28"/>
          <w:szCs w:val="28"/>
        </w:rPr>
        <w:br w:type="page"/>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both"/>
        <w:rPr>
          <w:rFonts w:ascii="楷体" w:hAnsi="楷体" w:eastAsia="楷体"/>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p>
      <w:pPr>
        <w:rPr>
          <w:rFonts w:hint="eastAsia" w:ascii="楷体" w:hAnsi="楷体" w:eastAsia="楷体"/>
          <w:b/>
          <w:sz w:val="28"/>
          <w:szCs w:val="28"/>
          <w:highlight w:val="none"/>
        </w:rPr>
      </w:pPr>
      <w:r>
        <w:rPr>
          <w:rFonts w:hint="eastAsia" w:ascii="楷体" w:hAnsi="楷体" w:eastAsia="楷体"/>
          <w:b/>
          <w:sz w:val="28"/>
          <w:szCs w:val="28"/>
          <w:highlight w:val="none"/>
        </w:rPr>
        <w:br w:type="page"/>
      </w:r>
    </w:p>
    <w:p>
      <w:pPr>
        <w:pStyle w:val="13"/>
        <w:keepNext w:val="0"/>
        <w:keepLines w:val="0"/>
        <w:pageBreakBefore w:val="0"/>
        <w:wordWrap/>
        <w:topLinePunct w:val="0"/>
        <w:autoSpaceDE/>
        <w:autoSpaceDN/>
        <w:bidi w:val="0"/>
        <w:spacing w:before="0" w:beforeAutospacing="0" w:after="0" w:afterAutospacing="0" w:line="360" w:lineRule="auto"/>
        <w:jc w:val="center"/>
        <w:textAlignment w:val="auto"/>
        <w:outlineLvl w:val="0"/>
        <w:rPr>
          <w:rFonts w:hint="eastAsia" w:ascii="楷体" w:hAnsi="楷体" w:eastAsia="楷体"/>
          <w:b/>
          <w:sz w:val="28"/>
          <w:szCs w:val="28"/>
          <w:highlight w:val="none"/>
        </w:rPr>
      </w:pPr>
      <w:r>
        <w:rPr>
          <w:rFonts w:hint="eastAsia" w:ascii="楷体" w:hAnsi="楷体" w:eastAsia="楷体"/>
          <w:b/>
          <w:sz w:val="28"/>
          <w:szCs w:val="28"/>
          <w:highlight w:val="none"/>
        </w:rPr>
        <w:t>“</w:t>
      </w:r>
      <w:r>
        <w:rPr>
          <w:rFonts w:hint="eastAsia" w:ascii="楷体" w:hAnsi="楷体" w:eastAsia="楷体"/>
          <w:b/>
          <w:sz w:val="28"/>
          <w:szCs w:val="28"/>
          <w:highlight w:val="none"/>
          <w:lang w:eastAsia="zh-CN"/>
        </w:rPr>
        <w:t>苏银理财</w:t>
      </w:r>
      <w:r>
        <w:rPr>
          <w:rFonts w:hint="eastAsia" w:ascii="楷体" w:hAnsi="楷体" w:eastAsia="楷体"/>
          <w:b/>
          <w:sz w:val="28"/>
          <w:szCs w:val="28"/>
          <w:highlight w:val="none"/>
          <w:lang w:val="en-US" w:eastAsia="zh-CN"/>
        </w:rPr>
        <w:t>恒源</w:t>
      </w:r>
      <w:r>
        <w:rPr>
          <w:rFonts w:hint="eastAsia" w:ascii="楷体" w:hAnsi="楷体" w:eastAsia="楷体"/>
          <w:b/>
          <w:sz w:val="28"/>
          <w:szCs w:val="28"/>
          <w:highlight w:val="none"/>
          <w:lang w:val="en-US" w:eastAsia="zh-CN"/>
        </w:rPr>
        <w:t>天添鑫16号</w:t>
      </w:r>
      <w:r>
        <w:rPr>
          <w:rFonts w:hint="eastAsia" w:ascii="楷体" w:hAnsi="楷体" w:eastAsia="楷体"/>
          <w:b/>
          <w:sz w:val="28"/>
          <w:szCs w:val="28"/>
          <w:highlight w:val="none"/>
        </w:rPr>
        <w:t>”理财产品说明书</w:t>
      </w:r>
    </w:p>
    <w:p>
      <w:pPr>
        <w:pStyle w:val="13"/>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sz w:val="28"/>
          <w:szCs w:val="28"/>
          <w:highlight w:val="none"/>
        </w:rPr>
      </w:pPr>
      <w:r>
        <w:rPr>
          <w:rFonts w:hint="eastAsia" w:ascii="楷体" w:hAnsi="楷体" w:eastAsia="楷体" w:cs="Times New Roman"/>
          <w:kern w:val="2"/>
          <w:sz w:val="21"/>
          <w:szCs w:val="21"/>
          <w:highlight w:val="none"/>
          <w:lang w:val="en-US" w:eastAsia="zh-CN" w:bidi="ar-SA"/>
        </w:rPr>
        <w:t>（</w:t>
      </w:r>
      <w:r>
        <w:rPr>
          <w:rFonts w:hint="eastAsia" w:ascii="楷体" w:hAnsi="楷体" w:eastAsia="楷体" w:cs="Times New Roman"/>
          <w:b/>
          <w:bCs/>
          <w:kern w:val="2"/>
          <w:sz w:val="21"/>
          <w:szCs w:val="21"/>
          <w:highlight w:val="none"/>
          <w:lang w:val="en-US" w:eastAsia="zh-CN" w:bidi="ar-SA"/>
        </w:rPr>
        <w:t>2025年10月版</w:t>
      </w:r>
      <w:r>
        <w:rPr>
          <w:rFonts w:hint="eastAsia" w:ascii="楷体" w:hAnsi="楷体" w:eastAsia="楷体" w:cs="Times New Roman"/>
          <w:kern w:val="2"/>
          <w:sz w:val="21"/>
          <w:szCs w:val="21"/>
          <w:highlight w:val="none"/>
          <w:lang w:val="en-US" w:eastAsia="zh-CN" w:bidi="ar-SA"/>
        </w:rPr>
        <w:t>）</w:t>
      </w:r>
    </w:p>
    <w:p>
      <w:pPr>
        <w:keepNext w:val="0"/>
        <w:keepLines w:val="0"/>
        <w:pageBreakBefore w:val="0"/>
        <w:wordWrap/>
        <w:topLinePunct w:val="0"/>
        <w:autoSpaceDE/>
        <w:autoSpaceDN/>
        <w:bidi w:val="0"/>
        <w:jc w:val="center"/>
        <w:textAlignment w:val="auto"/>
        <w:outlineLvl w:val="1"/>
        <w:rPr>
          <w:rFonts w:hint="eastAsia" w:ascii="楷体" w:hAnsi="楷体" w:eastAsia="楷体"/>
          <w:b/>
          <w:sz w:val="24"/>
          <w:szCs w:val="24"/>
          <w:highlight w:val="none"/>
          <w:lang w:val="en-US" w:eastAsia="zh-CN"/>
        </w:rPr>
      </w:pPr>
      <w:r>
        <w:rPr>
          <w:rFonts w:hint="eastAsia" w:ascii="楷体" w:hAnsi="楷体" w:eastAsia="楷体" w:cs="宋体"/>
          <w:b/>
          <w:kern w:val="0"/>
          <w:sz w:val="24"/>
          <w:szCs w:val="24"/>
          <w:highlight w:val="none"/>
        </w:rPr>
        <w:t>理财非存款、产品有风险、投资须谨慎</w:t>
      </w:r>
    </w:p>
    <w:p>
      <w:pPr>
        <w:keepNext w:val="0"/>
        <w:keepLines w:val="0"/>
        <w:pageBreakBefore w:val="0"/>
        <w:wordWrap/>
        <w:topLinePunct w:val="0"/>
        <w:autoSpaceDE/>
        <w:autoSpaceDN/>
        <w:bidi w:val="0"/>
        <w:textAlignment w:val="auto"/>
        <w:rPr>
          <w:rFonts w:hint="eastAsia" w:ascii="楷体" w:hAnsi="楷体" w:eastAsia="楷体"/>
          <w:b/>
          <w:sz w:val="21"/>
          <w:szCs w:val="21"/>
          <w:highlight w:val="none"/>
        </w:rPr>
      </w:pPr>
      <w:r>
        <w:rPr>
          <w:rFonts w:hint="eastAsia" w:ascii="楷体" w:hAnsi="楷体" w:eastAsia="楷体"/>
          <w:b/>
          <w:sz w:val="21"/>
          <w:szCs w:val="21"/>
          <w:highlight w:val="none"/>
        </w:rPr>
        <w:t>重要须知</w:t>
      </w:r>
    </w:p>
    <w:p>
      <w:pPr>
        <w:keepNext w:val="0"/>
        <w:keepLines w:val="0"/>
        <w:pageBreakBefore w:val="0"/>
        <w:numPr>
          <w:ilvl w:val="0"/>
          <w:numId w:val="5"/>
        </w:numPr>
        <w:wordWrap/>
        <w:topLinePunct w:val="0"/>
        <w:autoSpaceDE/>
        <w:autoSpaceDN/>
        <w:bidi w:val="0"/>
        <w:ind w:left="420" w:leftChars="0" w:hanging="420" w:firstLineChars="0"/>
        <w:textAlignment w:val="auto"/>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w:t>
      </w:r>
      <w:r>
        <w:rPr>
          <w:rFonts w:hint="eastAsia" w:ascii="楷体" w:hAnsi="楷体" w:eastAsia="楷体"/>
          <w:sz w:val="21"/>
          <w:szCs w:val="21"/>
          <w:highlight w:val="none"/>
          <w:lang w:val="en-US" w:eastAsia="zh-CN"/>
        </w:rPr>
        <w:t>投资范围</w:t>
      </w:r>
      <w:r>
        <w:rPr>
          <w:rFonts w:hint="eastAsia" w:ascii="楷体" w:hAnsi="楷体" w:eastAsia="楷体"/>
          <w:sz w:val="21"/>
          <w:szCs w:val="21"/>
          <w:highlight w:val="none"/>
        </w:rPr>
        <w:t>、风险类型等基本情况，在慎重考虑后自行决定购买与自身风险承受能力和资产管理需求匹配的理财产品。</w:t>
      </w:r>
    </w:p>
    <w:p>
      <w:pPr>
        <w:keepNext w:val="0"/>
        <w:keepLines w:val="0"/>
        <w:pageBreakBefore w:val="0"/>
        <w:numPr>
          <w:ilvl w:val="0"/>
          <w:numId w:val="5"/>
        </w:numPr>
        <w:wordWrap/>
        <w:topLinePunct w:val="0"/>
        <w:autoSpaceDE/>
        <w:autoSpaceDN/>
        <w:bidi w:val="0"/>
        <w:ind w:left="420" w:leftChars="0" w:hanging="420" w:firstLineChars="0"/>
        <w:textAlignment w:val="auto"/>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本理财产品不保证本金及收益，您的本金可能因市场变动</w:t>
      </w:r>
      <w:r>
        <w:rPr>
          <w:rFonts w:hint="eastAsia" w:ascii="楷体" w:hAnsi="楷体" w:eastAsia="楷体"/>
          <w:b/>
          <w:sz w:val="21"/>
          <w:szCs w:val="21"/>
          <w:highlight w:val="none"/>
          <w:u w:val="single"/>
          <w:lang w:val="en-US" w:eastAsia="zh-CN"/>
        </w:rPr>
        <w:t>或者交易违约等事项</w:t>
      </w:r>
      <w:r>
        <w:rPr>
          <w:rFonts w:hint="eastAsia" w:ascii="楷体" w:hAnsi="楷体" w:eastAsia="楷体"/>
          <w:b/>
          <w:sz w:val="21"/>
          <w:szCs w:val="21"/>
          <w:highlight w:val="none"/>
          <w:u w:val="single"/>
        </w:rPr>
        <w:t>而蒙受相应损失，投资者应充分认识投资风险，谨慎投资</w:t>
      </w:r>
      <w:r>
        <w:rPr>
          <w:rFonts w:hint="eastAsia" w:ascii="楷体" w:hAnsi="楷体" w:eastAsia="楷体"/>
          <w:b/>
          <w:sz w:val="21"/>
          <w:szCs w:val="21"/>
          <w:highlight w:val="none"/>
          <w:u w:val="single"/>
          <w:lang w:eastAsia="zh-CN"/>
        </w:rPr>
        <w:t>。</w:t>
      </w:r>
    </w:p>
    <w:p>
      <w:pPr>
        <w:keepNext w:val="0"/>
        <w:keepLines w:val="0"/>
        <w:pageBreakBefore w:val="0"/>
        <w:numPr>
          <w:ilvl w:val="0"/>
          <w:numId w:val="5"/>
        </w:numPr>
        <w:wordWrap/>
        <w:topLinePunct w:val="0"/>
        <w:autoSpaceDE/>
        <w:autoSpaceDN/>
        <w:bidi w:val="0"/>
        <w:ind w:left="420" w:leftChars="0" w:hanging="420" w:firstLineChars="0"/>
        <w:textAlignment w:val="auto"/>
        <w:rPr>
          <w:rFonts w:ascii="楷体" w:hAnsi="楷体" w:eastAsia="楷体"/>
          <w:b/>
          <w:sz w:val="21"/>
          <w:szCs w:val="21"/>
          <w:highlight w:val="none"/>
          <w:u w:val="single"/>
        </w:rPr>
      </w:pPr>
      <w:r>
        <w:rPr>
          <w:rFonts w:hint="eastAsia" w:ascii="楷体" w:hAnsi="楷体" w:eastAsia="楷体"/>
          <w:b/>
          <w:sz w:val="21"/>
          <w:szCs w:val="21"/>
          <w:highlight w:val="none"/>
          <w:u w:val="single"/>
        </w:rPr>
        <w:t>本理财产品过往业绩不代表其未来表现，不等于理财产品实际收益，投资须谨慎；理财非存款、产品有风险、投资须谨慎。</w:t>
      </w:r>
    </w:p>
    <w:p>
      <w:pPr>
        <w:keepNext w:val="0"/>
        <w:keepLines w:val="0"/>
        <w:pageBreakBefore w:val="0"/>
        <w:numPr>
          <w:ilvl w:val="0"/>
          <w:numId w:val="5"/>
        </w:numPr>
        <w:wordWrap/>
        <w:topLinePunct w:val="0"/>
        <w:autoSpaceDE/>
        <w:autoSpaceDN/>
        <w:bidi w:val="0"/>
        <w:ind w:left="420" w:leftChars="0" w:hanging="420" w:firstLineChars="0"/>
        <w:textAlignment w:val="auto"/>
        <w:rPr>
          <w:rFonts w:hint="eastAsia" w:ascii="楷体" w:hAnsi="楷体" w:eastAsia="楷体"/>
          <w:b/>
          <w:sz w:val="21"/>
          <w:szCs w:val="21"/>
          <w:highlight w:val="none"/>
          <w:u w:val="single"/>
        </w:rPr>
      </w:pPr>
      <w:r>
        <w:rPr>
          <w:rFonts w:hint="eastAsia" w:ascii="楷体" w:hAnsi="楷体" w:eastAsia="楷体"/>
          <w:b/>
          <w:sz w:val="21"/>
          <w:szCs w:val="21"/>
          <w:highlight w:val="none"/>
          <w:u w:val="single"/>
        </w:rPr>
        <w:t>本理财产品任何业绩比较基准</w:t>
      </w:r>
      <w:r>
        <w:rPr>
          <w:rFonts w:hint="eastAsia" w:ascii="楷体" w:hAnsi="楷体" w:eastAsia="楷体"/>
          <w:b/>
          <w:sz w:val="21"/>
          <w:szCs w:val="21"/>
          <w:highlight w:val="none"/>
          <w:u w:val="single"/>
          <w:lang w:val="en-US" w:eastAsia="zh-CN"/>
        </w:rPr>
        <w:t>及</w:t>
      </w:r>
      <w:r>
        <w:rPr>
          <w:rFonts w:hint="eastAsia" w:ascii="楷体" w:hAnsi="楷体" w:eastAsia="楷体"/>
          <w:b/>
          <w:sz w:val="21"/>
          <w:szCs w:val="21"/>
          <w:highlight w:val="none"/>
          <w:u w:val="single"/>
        </w:rPr>
        <w:t>类似表述均属不具有法律约束力的用语</w:t>
      </w:r>
      <w:r>
        <w:rPr>
          <w:rFonts w:hint="eastAsia" w:ascii="楷体" w:hAnsi="楷体" w:eastAsia="楷体"/>
          <w:b/>
          <w:sz w:val="21"/>
          <w:szCs w:val="21"/>
          <w:highlight w:val="none"/>
          <w:u w:val="single"/>
          <w:lang w:eastAsia="zh-CN"/>
        </w:rPr>
        <w:t>。</w:t>
      </w:r>
      <w:r>
        <w:rPr>
          <w:rFonts w:hint="eastAsia" w:ascii="楷体" w:hAnsi="楷体" w:eastAsia="楷体"/>
          <w:b/>
          <w:sz w:val="21"/>
          <w:szCs w:val="21"/>
          <w:highlight w:val="none"/>
          <w:u w:val="single"/>
        </w:rPr>
        <w:t>业绩比较基准</w:t>
      </w:r>
      <w:r>
        <w:rPr>
          <w:rFonts w:hint="eastAsia" w:ascii="楷体" w:hAnsi="楷体" w:eastAsia="楷体"/>
          <w:b/>
          <w:sz w:val="21"/>
          <w:szCs w:val="21"/>
          <w:highlight w:val="none"/>
          <w:u w:val="single"/>
          <w:lang w:val="en-US" w:eastAsia="zh-CN"/>
        </w:rPr>
        <w:t>为</w:t>
      </w:r>
      <w:r>
        <w:rPr>
          <w:rFonts w:hint="eastAsia" w:ascii="楷体" w:hAnsi="楷体" w:eastAsia="楷体"/>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keepNext w:val="0"/>
        <w:keepLines w:val="0"/>
        <w:pageBreakBefore w:val="0"/>
        <w:numPr>
          <w:ilvl w:val="0"/>
          <w:numId w:val="5"/>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keepNext w:val="0"/>
        <w:keepLines w:val="0"/>
        <w:pageBreakBefore w:val="0"/>
        <w:numPr>
          <w:ilvl w:val="0"/>
          <w:numId w:val="5"/>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w:t>
      </w:r>
      <w:r>
        <w:rPr>
          <w:rFonts w:hint="eastAsia" w:ascii="楷体" w:hAnsi="楷体" w:eastAsia="楷体"/>
          <w:b w:val="0"/>
          <w:bCs w:val="0"/>
          <w:sz w:val="21"/>
          <w:szCs w:val="21"/>
          <w:highlight w:val="none"/>
        </w:rPr>
        <w:t>苏银理财</w:t>
      </w:r>
      <w:r>
        <w:rPr>
          <w:rFonts w:hint="eastAsia" w:ascii="楷体" w:hAnsi="楷体" w:eastAsia="楷体"/>
          <w:b w:val="0"/>
          <w:bCs w:val="0"/>
          <w:sz w:val="21"/>
          <w:szCs w:val="21"/>
          <w:highlight w:val="none"/>
          <w:lang w:val="en-US" w:eastAsia="zh-CN"/>
        </w:rPr>
        <w:t>恒源天添鑫16号</w:t>
      </w:r>
      <w:r>
        <w:rPr>
          <w:rFonts w:hint="eastAsia" w:ascii="楷体" w:hAnsi="楷体" w:eastAsia="楷体"/>
          <w:sz w:val="21"/>
          <w:szCs w:val="21"/>
          <w:highlight w:val="none"/>
        </w:rPr>
        <w:t>”理财产品风险揭示书》的“风险揭示”部分。</w:t>
      </w:r>
    </w:p>
    <w:p>
      <w:pPr>
        <w:keepNext w:val="0"/>
        <w:keepLines w:val="0"/>
        <w:pageBreakBefore w:val="0"/>
        <w:numPr>
          <w:ilvl w:val="0"/>
          <w:numId w:val="5"/>
        </w:numPr>
        <w:wordWrap/>
        <w:topLinePunct w:val="0"/>
        <w:autoSpaceDE/>
        <w:autoSpaceDN/>
        <w:bidi w:val="0"/>
        <w:ind w:left="420" w:leftChars="0" w:hanging="420" w:firstLineChars="0"/>
        <w:textAlignment w:val="auto"/>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keepNext w:val="0"/>
        <w:keepLines w:val="0"/>
        <w:pageBreakBefore w:val="0"/>
        <w:numPr>
          <w:ilvl w:val="0"/>
          <w:numId w:val="5"/>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b/>
          <w:sz w:val="21"/>
          <w:szCs w:val="21"/>
          <w:highlight w:val="none"/>
          <w:u w:val="single"/>
        </w:rPr>
        <w:t>投资者不得使用贷款、发行债券等筹集的非自有资金投资本理财产品。</w:t>
      </w:r>
    </w:p>
    <w:p>
      <w:pPr>
        <w:keepNext w:val="0"/>
        <w:keepLines w:val="0"/>
        <w:pageBreakBefore w:val="0"/>
        <w:numPr>
          <w:ilvl w:val="0"/>
          <w:numId w:val="5"/>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产品要素</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sz w:val="21"/>
          <w:szCs w:val="21"/>
          <w:highlight w:val="none"/>
          <w:lang w:val="en-US" w:eastAsia="zh-CN"/>
        </w:rPr>
      </w:pPr>
      <w:r>
        <w:rPr>
          <w:rFonts w:hint="eastAsia" w:ascii="楷体" w:hAnsi="楷体" w:eastAsia="楷体" w:cs="Calibri"/>
          <w:sz w:val="21"/>
          <w:szCs w:val="21"/>
          <w:highlight w:val="none"/>
          <w:lang w:val="en-US" w:eastAsia="zh-CN"/>
        </w:rPr>
        <w:t>为保护投资者合法权益，尊重投资者的知情权和自主选择权，现将本理财产品的基本要素说明如下：</w:t>
      </w:r>
    </w:p>
    <w:tbl>
      <w:tblPr>
        <w:tblStyle w:val="15"/>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
        <w:gridCol w:w="1691"/>
        <w:gridCol w:w="7942"/>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42"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w:t>
            </w:r>
            <w:r>
              <w:rPr>
                <w:rFonts w:hint="eastAsia" w:ascii="楷体" w:hAnsi="楷体" w:eastAsia="楷体" w:cs="宋体"/>
                <w:spacing w:val="-2"/>
                <w:sz w:val="18"/>
                <w:szCs w:val="18"/>
                <w:highlight w:val="none"/>
                <w:lang w:val="en-US" w:eastAsia="zh-CN"/>
              </w:rPr>
              <w:t>恒源天添鑫16号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4"/>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42"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default" w:ascii="楷体" w:hAnsi="楷体" w:eastAsia="楷体" w:cs="宋体"/>
                <w:spacing w:val="-2"/>
                <w:sz w:val="18"/>
                <w:szCs w:val="18"/>
                <w:highlight w:val="none"/>
                <w:lang w:val="en-US" w:eastAsia="zh-CN"/>
              </w:rPr>
              <w:t>Z7003125000167，投资者可依据该编码在中国理财网www.chinawealth.com.cn查询产品信息。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w:t>
            </w:r>
            <w:r>
              <w:rPr>
                <w:rFonts w:hint="eastAsia" w:ascii="楷体" w:hAnsi="楷体" w:eastAsia="楷体" w:cs="宋体"/>
                <w:b/>
                <w:spacing w:val="-2"/>
                <w:sz w:val="18"/>
                <w:szCs w:val="18"/>
                <w:highlight w:val="none"/>
                <w:lang w:val="en-US" w:eastAsia="zh-CN"/>
              </w:rPr>
              <w:t>名称</w:t>
            </w:r>
            <w:r>
              <w:rPr>
                <w:rFonts w:hint="eastAsia" w:ascii="楷体" w:hAnsi="楷体" w:eastAsia="楷体" w:cs="宋体"/>
                <w:b/>
                <w:spacing w:val="-2"/>
                <w:sz w:val="18"/>
                <w:szCs w:val="18"/>
                <w:highlight w:val="none"/>
              </w:rPr>
              <w:t>/销售代码</w:t>
            </w:r>
          </w:p>
        </w:tc>
        <w:tc>
          <w:tcPr>
            <w:tcW w:w="7942"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A份额：苏银理财恒源</w:t>
            </w:r>
            <w:r>
              <w:rPr>
                <w:rFonts w:hint="eastAsia" w:ascii="楷体" w:hAnsi="楷体" w:eastAsia="楷体" w:cs="宋体"/>
                <w:spacing w:val="-2"/>
                <w:sz w:val="18"/>
                <w:szCs w:val="18"/>
                <w:highlight w:val="none"/>
                <w:lang w:val="en-US" w:eastAsia="zh-CN"/>
              </w:rPr>
              <w:t>天添鑫16号</w:t>
            </w:r>
            <w:r>
              <w:rPr>
                <w:rFonts w:hint="default" w:ascii="楷体" w:hAnsi="楷体" w:eastAsia="楷体" w:cs="宋体"/>
                <w:spacing w:val="-2"/>
                <w:sz w:val="18"/>
                <w:szCs w:val="18"/>
                <w:highlight w:val="none"/>
                <w:lang w:val="en-US" w:eastAsia="zh-CN"/>
              </w:rPr>
              <w:t>A/J09645</w:t>
            </w:r>
          </w:p>
          <w:p>
            <w:pPr>
              <w:pStyle w:val="34"/>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F</w:t>
            </w:r>
            <w:r>
              <w:rPr>
                <w:rFonts w:hint="default" w:ascii="楷体" w:hAnsi="楷体" w:eastAsia="楷体" w:cs="宋体"/>
                <w:spacing w:val="-2"/>
                <w:sz w:val="18"/>
                <w:szCs w:val="18"/>
                <w:highlight w:val="none"/>
                <w:lang w:val="en-US" w:eastAsia="zh-CN"/>
              </w:rPr>
              <w:t>份额：苏银理财恒源天添鑫16号</w:t>
            </w:r>
            <w:r>
              <w:rPr>
                <w:rFonts w:hint="eastAsia" w:ascii="楷体" w:hAnsi="楷体" w:eastAsia="楷体" w:cs="宋体"/>
                <w:spacing w:val="-2"/>
                <w:sz w:val="18"/>
                <w:szCs w:val="18"/>
                <w:highlight w:val="none"/>
                <w:lang w:val="en-US" w:eastAsia="zh-CN"/>
              </w:rPr>
              <w:t>F</w:t>
            </w:r>
            <w:r>
              <w:rPr>
                <w:rFonts w:hint="default" w:ascii="楷体" w:hAnsi="楷体" w:eastAsia="楷体" w:cs="宋体"/>
                <w:spacing w:val="-2"/>
                <w:sz w:val="18"/>
                <w:szCs w:val="18"/>
                <w:highlight w:val="none"/>
                <w:lang w:val="en-US" w:eastAsia="zh-CN"/>
              </w:rPr>
              <w:t>/J09646</w:t>
            </w:r>
          </w:p>
          <w:p>
            <w:pPr>
              <w:pStyle w:val="34"/>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G份额：苏银理财恒源</w:t>
            </w:r>
            <w:r>
              <w:rPr>
                <w:rFonts w:hint="eastAsia" w:ascii="楷体" w:hAnsi="楷体" w:eastAsia="楷体" w:cs="宋体"/>
                <w:spacing w:val="-2"/>
                <w:sz w:val="18"/>
                <w:szCs w:val="18"/>
                <w:highlight w:val="none"/>
                <w:lang w:val="en-US" w:eastAsia="zh-CN"/>
              </w:rPr>
              <w:t>天添鑫16号</w:t>
            </w:r>
            <w:r>
              <w:rPr>
                <w:rFonts w:hint="default" w:ascii="楷体" w:hAnsi="楷体" w:eastAsia="楷体" w:cs="宋体"/>
                <w:spacing w:val="-2"/>
                <w:sz w:val="18"/>
                <w:szCs w:val="18"/>
                <w:highlight w:val="none"/>
                <w:lang w:val="en-US" w:eastAsia="zh-CN"/>
              </w:rPr>
              <w:t>G/J09647</w:t>
            </w:r>
          </w:p>
          <w:p>
            <w:pPr>
              <w:pStyle w:val="34"/>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H份额：苏银理财恒源</w:t>
            </w:r>
            <w:r>
              <w:rPr>
                <w:rFonts w:hint="eastAsia" w:ascii="楷体" w:hAnsi="楷体" w:eastAsia="楷体" w:cs="宋体"/>
                <w:spacing w:val="-2"/>
                <w:sz w:val="18"/>
                <w:szCs w:val="18"/>
                <w:highlight w:val="none"/>
                <w:lang w:val="en-US" w:eastAsia="zh-CN"/>
              </w:rPr>
              <w:t>天添鑫16号</w:t>
            </w:r>
            <w:r>
              <w:rPr>
                <w:rFonts w:hint="default" w:ascii="楷体" w:hAnsi="楷体" w:eastAsia="楷体" w:cs="宋体"/>
                <w:spacing w:val="-2"/>
                <w:sz w:val="18"/>
                <w:szCs w:val="18"/>
                <w:highlight w:val="none"/>
                <w:lang w:val="en-US" w:eastAsia="zh-CN"/>
              </w:rPr>
              <w:t>H/J09648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产品类型</w:t>
            </w:r>
          </w:p>
        </w:tc>
        <w:tc>
          <w:tcPr>
            <w:tcW w:w="7942"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b/>
                <w:spacing w:val="-2"/>
                <w:kern w:val="0"/>
                <w:sz w:val="18"/>
                <w:szCs w:val="18"/>
                <w:highlight w:val="none"/>
                <w:u w:val="single"/>
                <w:lang w:val="en-US" w:eastAsia="zh-CN" w:bidi="ar-SA"/>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4"/>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4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21" w:leftChars="10" w:right="21" w:rightChars="10" w:firstLine="0" w:firstLineChars="0"/>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9"/>
              <w:gridCol w:w="2031"/>
              <w:gridCol w:w="1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0"/>
                <w:numId w:val="0"/>
              </w:numPr>
              <w:wordWrap/>
              <w:topLinePunct w:val="0"/>
              <w:autoSpaceDE/>
              <w:autoSpaceDN/>
              <w:bidi w:val="0"/>
              <w:snapToGrid w:val="0"/>
              <w:spacing w:line="240" w:lineRule="auto"/>
              <w:ind w:left="21" w:leftChars="10" w:right="21" w:rightChars="10" w:firstLine="0" w:firstLineChars="0"/>
              <w:jc w:val="both"/>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如本产品通过代理销售机构渠道销售，理财产品评级以代理销售机构最终披露的评级结果为准。</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42"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个人和机构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42"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份额面值</w:t>
            </w:r>
          </w:p>
        </w:tc>
        <w:tc>
          <w:tcPr>
            <w:tcW w:w="7942"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42"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本产品计划发行规模为10000万元，管理人有权根据实际需要调整计划发行规模。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42"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42"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lang w:val="en-US" w:eastAsia="zh-CN"/>
              </w:rPr>
              <w:t>0.01</w:t>
            </w:r>
            <w:r>
              <w:rPr>
                <w:rFonts w:hint="eastAsia" w:ascii="楷体" w:hAnsi="楷体" w:eastAsia="楷体"/>
                <w:sz w:val="18"/>
                <w:szCs w:val="18"/>
                <w:highlight w:val="none"/>
              </w:rPr>
              <w:t>元/</w:t>
            </w:r>
            <w:r>
              <w:rPr>
                <w:rFonts w:hint="eastAsia" w:ascii="楷体" w:hAnsi="楷体" w:eastAsia="楷体"/>
                <w:sz w:val="18"/>
                <w:szCs w:val="18"/>
                <w:highlight w:val="none"/>
                <w:lang w:val="en-US" w:eastAsia="zh-CN"/>
              </w:rPr>
              <w:t>0.01</w:t>
            </w:r>
            <w:r>
              <w:rPr>
                <w:rFonts w:hint="eastAsia" w:ascii="楷体" w:hAnsi="楷体" w:eastAsia="楷体"/>
                <w:sz w:val="18"/>
                <w:szCs w:val="18"/>
                <w:highlight w:val="none"/>
              </w:rPr>
              <w:t>元的整数倍</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lang w:eastAsia="zh-CN"/>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42"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w:t>
            </w:r>
            <w:r>
              <w:rPr>
                <w:rFonts w:hint="eastAsia" w:ascii="楷体" w:hAnsi="楷体" w:eastAsia="楷体" w:cs="宋体"/>
                <w:spacing w:val="-2"/>
                <w:sz w:val="18"/>
                <w:szCs w:val="18"/>
                <w:highlight w:val="none"/>
                <w:lang w:val="en-US" w:eastAsia="zh-CN"/>
              </w:rPr>
              <w:t>5</w:t>
            </w:r>
            <w:r>
              <w:rPr>
                <w:rFonts w:hint="eastAsia" w:ascii="楷体" w:hAnsi="楷体" w:eastAsia="楷体" w:cs="宋体"/>
                <w:spacing w:val="-2"/>
                <w:sz w:val="18"/>
                <w:szCs w:val="18"/>
                <w:highlight w:val="none"/>
              </w:rPr>
              <w:t>年</w:t>
            </w:r>
            <w:r>
              <w:rPr>
                <w:rFonts w:hint="eastAsia" w:ascii="楷体" w:hAnsi="楷体" w:eastAsia="楷体" w:cs="宋体"/>
                <w:spacing w:val="-2"/>
                <w:sz w:val="18"/>
                <w:szCs w:val="18"/>
                <w:highlight w:val="none"/>
                <w:lang w:val="en-US" w:eastAsia="zh-CN"/>
              </w:rPr>
              <w:t>10</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27</w:t>
            </w:r>
            <w:r>
              <w:rPr>
                <w:rFonts w:hint="eastAsia" w:ascii="楷体" w:hAnsi="楷体" w:eastAsia="楷体" w:cs="宋体"/>
                <w:spacing w:val="-2"/>
                <w:sz w:val="18"/>
                <w:szCs w:val="18"/>
                <w:highlight w:val="none"/>
              </w:rPr>
              <w:t>日</w:t>
            </w:r>
            <w:r>
              <w:rPr>
                <w:rFonts w:hint="eastAsia" w:ascii="楷体" w:hAnsi="楷体" w:eastAsia="楷体" w:cs="宋体"/>
                <w:spacing w:val="-2"/>
                <w:sz w:val="18"/>
                <w:szCs w:val="18"/>
                <w:highlight w:val="none"/>
                <w:lang w:val="en-US" w:eastAsia="zh-CN"/>
              </w:rPr>
              <w:t>至</w:t>
            </w:r>
            <w:r>
              <w:rPr>
                <w:rFonts w:hint="eastAsia" w:ascii="楷体" w:hAnsi="楷体" w:eastAsia="楷体" w:cs="宋体"/>
                <w:spacing w:val="-2"/>
                <w:sz w:val="18"/>
                <w:szCs w:val="18"/>
                <w:highlight w:val="none"/>
              </w:rPr>
              <w:t>202</w:t>
            </w:r>
            <w:r>
              <w:rPr>
                <w:rFonts w:hint="eastAsia" w:ascii="楷体" w:hAnsi="楷体" w:eastAsia="楷体" w:cs="宋体"/>
                <w:spacing w:val="-2"/>
                <w:sz w:val="18"/>
                <w:szCs w:val="18"/>
                <w:highlight w:val="none"/>
                <w:lang w:val="en-US" w:eastAsia="zh-CN"/>
              </w:rPr>
              <w:t>5</w:t>
            </w:r>
            <w:r>
              <w:rPr>
                <w:rFonts w:hint="eastAsia" w:ascii="楷体" w:hAnsi="楷体" w:eastAsia="楷体" w:cs="宋体"/>
                <w:spacing w:val="-2"/>
                <w:sz w:val="18"/>
                <w:szCs w:val="18"/>
                <w:highlight w:val="none"/>
              </w:rPr>
              <w:t>年</w:t>
            </w:r>
            <w:r>
              <w:rPr>
                <w:rFonts w:hint="eastAsia" w:ascii="楷体" w:hAnsi="楷体" w:eastAsia="楷体" w:cs="宋体"/>
                <w:spacing w:val="-2"/>
                <w:sz w:val="18"/>
                <w:szCs w:val="18"/>
                <w:highlight w:val="none"/>
                <w:lang w:val="en-US" w:eastAsia="zh-CN"/>
              </w:rPr>
              <w:t>10</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29</w:t>
            </w:r>
            <w:r>
              <w:rPr>
                <w:rFonts w:hint="eastAsia" w:ascii="楷体" w:hAnsi="楷体" w:eastAsia="楷体" w:cs="宋体"/>
                <w:spacing w:val="-2"/>
                <w:sz w:val="18"/>
                <w:szCs w:val="18"/>
                <w:highlight w:val="none"/>
              </w:rPr>
              <w:t>日。</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42"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w:t>
            </w:r>
            <w:r>
              <w:rPr>
                <w:rFonts w:hint="eastAsia" w:ascii="楷体" w:hAnsi="楷体" w:eastAsia="楷体" w:cs="宋体"/>
                <w:spacing w:val="-2"/>
                <w:sz w:val="18"/>
                <w:szCs w:val="18"/>
                <w:highlight w:val="none"/>
                <w:lang w:val="en-US" w:eastAsia="zh-CN"/>
              </w:rPr>
              <w:t>5</w:t>
            </w:r>
            <w:r>
              <w:rPr>
                <w:rFonts w:hint="eastAsia" w:ascii="楷体" w:hAnsi="楷体" w:eastAsia="楷体" w:cs="宋体"/>
                <w:spacing w:val="-2"/>
                <w:sz w:val="18"/>
                <w:szCs w:val="18"/>
                <w:highlight w:val="none"/>
              </w:rPr>
              <w:t>年</w:t>
            </w:r>
            <w:r>
              <w:rPr>
                <w:rFonts w:hint="eastAsia" w:ascii="楷体" w:hAnsi="楷体" w:eastAsia="楷体" w:cs="宋体"/>
                <w:spacing w:val="-2"/>
                <w:sz w:val="18"/>
                <w:szCs w:val="18"/>
                <w:highlight w:val="none"/>
                <w:lang w:val="en-US" w:eastAsia="zh-CN"/>
              </w:rPr>
              <w:t>10</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30</w:t>
            </w:r>
            <w:r>
              <w:rPr>
                <w:rFonts w:hint="eastAsia" w:ascii="楷体" w:hAnsi="楷体" w:eastAsia="楷体" w:cs="宋体"/>
                <w:spacing w:val="-2"/>
                <w:sz w:val="18"/>
                <w:szCs w:val="18"/>
                <w:highlight w:val="none"/>
              </w:rPr>
              <w:t>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Before w:val="1"/>
          <w:wBefore w:w="5" w:type="dxa"/>
          <w:jc w:val="center"/>
        </w:trPr>
        <w:tc>
          <w:tcPr>
            <w:tcW w:w="1691" w:type="dxa"/>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r>
              <w:rPr>
                <w:rFonts w:hint="eastAsia" w:ascii="楷体" w:hAnsi="楷体" w:eastAsia="楷体" w:cs="宋体"/>
                <w:b/>
                <w:color w:val="auto"/>
                <w:spacing w:val="-2"/>
                <w:sz w:val="18"/>
                <w:szCs w:val="18"/>
                <w:highlight w:val="none"/>
              </w:rPr>
              <w:t>到期日</w:t>
            </w:r>
          </w:p>
        </w:tc>
        <w:tc>
          <w:tcPr>
            <w:tcW w:w="7947" w:type="dxa"/>
            <w:gridSpan w:val="2"/>
            <w:noWrap w:val="0"/>
            <w:vAlign w:val="top"/>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w:t>
            </w:r>
            <w:r>
              <w:rPr>
                <w:rFonts w:hint="eastAsia" w:ascii="楷体" w:hAnsi="楷体" w:eastAsia="楷体" w:cs="宋体"/>
                <w:spacing w:val="-2"/>
                <w:sz w:val="18"/>
                <w:szCs w:val="18"/>
                <w:highlight w:val="none"/>
                <w:lang w:val="en-US" w:eastAsia="zh-CN"/>
              </w:rPr>
              <w:t>35</w:t>
            </w:r>
            <w:r>
              <w:rPr>
                <w:rFonts w:hint="eastAsia" w:ascii="楷体" w:hAnsi="楷体" w:eastAsia="楷体" w:cs="宋体"/>
                <w:spacing w:val="-2"/>
                <w:sz w:val="18"/>
                <w:szCs w:val="18"/>
                <w:highlight w:val="none"/>
              </w:rPr>
              <w:t>年12月</w:t>
            </w:r>
            <w:r>
              <w:rPr>
                <w:rFonts w:hint="eastAsia" w:ascii="楷体" w:hAnsi="楷体" w:eastAsia="楷体" w:cs="宋体"/>
                <w:spacing w:val="-2"/>
                <w:sz w:val="18"/>
                <w:szCs w:val="18"/>
                <w:highlight w:val="none"/>
                <w:lang w:val="en-US" w:eastAsia="zh-CN"/>
              </w:rPr>
              <w:t>27</w:t>
            </w:r>
            <w:r>
              <w:rPr>
                <w:rFonts w:hint="eastAsia" w:ascii="楷体" w:hAnsi="楷体" w:eastAsia="楷体" w:cs="宋体"/>
                <w:spacing w:val="-2"/>
                <w:sz w:val="18"/>
                <w:szCs w:val="18"/>
                <w:highlight w:val="none"/>
              </w:rPr>
              <w:t>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如遇节假日，顺延至下一工作日。在符合产品说明书约定的条件下，管理人有权调整产品到期日，产品到期日受制于提前终止、延期终止条款。详见下文“产品终止”。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 w:leftChars="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lang w:val="en-US" w:eastAsia="zh-CN"/>
              </w:rPr>
              <w:t>封闭运作期</w:t>
            </w:r>
          </w:p>
        </w:tc>
        <w:tc>
          <w:tcPr>
            <w:tcW w:w="7942"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w:t>
            </w:r>
            <w:r>
              <w:rPr>
                <w:rFonts w:hint="eastAsia" w:ascii="楷体" w:hAnsi="楷体" w:eastAsia="楷体" w:cs="宋体"/>
                <w:spacing w:val="-2"/>
                <w:sz w:val="18"/>
                <w:szCs w:val="18"/>
                <w:highlight w:val="none"/>
                <w:lang w:val="en-US" w:eastAsia="zh-CN"/>
              </w:rPr>
              <w:t>5</w:t>
            </w:r>
            <w:r>
              <w:rPr>
                <w:rFonts w:hint="eastAsia" w:ascii="楷体" w:hAnsi="楷体" w:eastAsia="楷体" w:cs="宋体"/>
                <w:spacing w:val="-2"/>
                <w:sz w:val="18"/>
                <w:szCs w:val="18"/>
                <w:highlight w:val="none"/>
              </w:rPr>
              <w:t>年</w:t>
            </w:r>
            <w:r>
              <w:rPr>
                <w:rFonts w:hint="eastAsia" w:ascii="楷体" w:hAnsi="楷体" w:eastAsia="楷体" w:cs="宋体"/>
                <w:spacing w:val="-2"/>
                <w:sz w:val="18"/>
                <w:szCs w:val="18"/>
                <w:highlight w:val="none"/>
                <w:lang w:val="en-US" w:eastAsia="zh-CN"/>
              </w:rPr>
              <w:t>10</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30</w:t>
            </w:r>
            <w:r>
              <w:rPr>
                <w:rFonts w:hint="eastAsia" w:ascii="楷体" w:hAnsi="楷体" w:eastAsia="楷体" w:cs="宋体"/>
                <w:spacing w:val="-2"/>
                <w:sz w:val="18"/>
                <w:szCs w:val="18"/>
                <w:highlight w:val="none"/>
              </w:rPr>
              <w:t>日-202</w:t>
            </w:r>
            <w:r>
              <w:rPr>
                <w:rFonts w:hint="eastAsia" w:ascii="楷体" w:hAnsi="楷体" w:eastAsia="楷体" w:cs="宋体"/>
                <w:spacing w:val="-2"/>
                <w:sz w:val="18"/>
                <w:szCs w:val="18"/>
                <w:highlight w:val="none"/>
                <w:lang w:val="en-US" w:eastAsia="zh-CN"/>
              </w:rPr>
              <w:t>5</w:t>
            </w:r>
            <w:r>
              <w:rPr>
                <w:rFonts w:hint="eastAsia" w:ascii="楷体" w:hAnsi="楷体" w:eastAsia="楷体" w:cs="宋体"/>
                <w:spacing w:val="-2"/>
                <w:sz w:val="18"/>
                <w:szCs w:val="18"/>
                <w:highlight w:val="none"/>
              </w:rPr>
              <w:t>年1</w:t>
            </w:r>
            <w:r>
              <w:rPr>
                <w:rFonts w:hint="eastAsia" w:ascii="楷体" w:hAnsi="楷体" w:eastAsia="楷体" w:cs="宋体"/>
                <w:spacing w:val="-2"/>
                <w:sz w:val="18"/>
                <w:szCs w:val="18"/>
                <w:highlight w:val="none"/>
                <w:lang w:val="en-US" w:eastAsia="zh-CN"/>
              </w:rPr>
              <w:t>1</w:t>
            </w:r>
            <w:r>
              <w:rPr>
                <w:rFonts w:hint="eastAsia" w:ascii="楷体" w:hAnsi="楷体" w:eastAsia="楷体" w:cs="宋体"/>
                <w:spacing w:val="-2"/>
                <w:sz w:val="18"/>
                <w:szCs w:val="18"/>
                <w:highlight w:val="none"/>
              </w:rPr>
              <w:t>月</w:t>
            </w:r>
            <w:r>
              <w:rPr>
                <w:rFonts w:hint="eastAsia" w:ascii="楷体" w:hAnsi="楷体" w:eastAsia="楷体" w:cs="宋体"/>
                <w:spacing w:val="-2"/>
                <w:sz w:val="18"/>
                <w:szCs w:val="18"/>
                <w:highlight w:val="none"/>
                <w:lang w:val="en-US" w:eastAsia="zh-CN"/>
              </w:rPr>
              <w:t>30</w:t>
            </w:r>
            <w:r>
              <w:rPr>
                <w:rFonts w:hint="eastAsia" w:ascii="楷体" w:hAnsi="楷体" w:eastAsia="楷体" w:cs="宋体"/>
                <w:spacing w:val="-2"/>
                <w:sz w:val="18"/>
                <w:szCs w:val="18"/>
                <w:highlight w:val="none"/>
              </w:rPr>
              <w:t>日，封闭运作期内不可申购/赎回。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42" w:type="dxa"/>
            <w:noWrap w:val="0"/>
            <w:vAlign w:val="top"/>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b/>
                <w:bCs/>
                <w:spacing w:val="-2"/>
                <w:sz w:val="18"/>
                <w:szCs w:val="18"/>
                <w:highlight w:val="none"/>
                <w:u w:val="single"/>
              </w:rPr>
              <w:t>本产品封闭运作期结束后，自202</w:t>
            </w:r>
            <w:r>
              <w:rPr>
                <w:rFonts w:hint="eastAsia" w:ascii="楷体" w:hAnsi="楷体" w:eastAsia="楷体" w:cs="宋体"/>
                <w:b/>
                <w:bCs/>
                <w:spacing w:val="-2"/>
                <w:sz w:val="18"/>
                <w:szCs w:val="18"/>
                <w:highlight w:val="none"/>
                <w:u w:val="single"/>
                <w:lang w:val="en-US" w:eastAsia="zh-CN"/>
              </w:rPr>
              <w:t>5</w:t>
            </w:r>
            <w:r>
              <w:rPr>
                <w:rFonts w:hint="eastAsia" w:ascii="楷体" w:hAnsi="楷体" w:eastAsia="楷体" w:cs="宋体"/>
                <w:b/>
                <w:bCs/>
                <w:spacing w:val="-2"/>
                <w:sz w:val="18"/>
                <w:szCs w:val="18"/>
                <w:highlight w:val="none"/>
                <w:u w:val="single"/>
              </w:rPr>
              <w:t>年</w:t>
            </w:r>
            <w:r>
              <w:rPr>
                <w:rFonts w:hint="eastAsia" w:ascii="楷体" w:hAnsi="楷体" w:eastAsia="楷体" w:cs="宋体"/>
                <w:b/>
                <w:bCs/>
                <w:spacing w:val="-2"/>
                <w:sz w:val="18"/>
                <w:szCs w:val="18"/>
                <w:highlight w:val="none"/>
                <w:u w:val="single"/>
                <w:lang w:val="en-US" w:eastAsia="zh-CN"/>
              </w:rPr>
              <w:t>12</w:t>
            </w:r>
            <w:r>
              <w:rPr>
                <w:rFonts w:hint="eastAsia" w:ascii="楷体" w:hAnsi="楷体" w:eastAsia="楷体" w:cs="宋体"/>
                <w:b/>
                <w:bCs/>
                <w:spacing w:val="-2"/>
                <w:sz w:val="18"/>
                <w:szCs w:val="18"/>
                <w:highlight w:val="none"/>
                <w:u w:val="single"/>
              </w:rPr>
              <w:t>月</w:t>
            </w:r>
            <w:r>
              <w:rPr>
                <w:rFonts w:hint="eastAsia" w:ascii="楷体" w:hAnsi="楷体" w:eastAsia="楷体" w:cs="宋体"/>
                <w:b/>
                <w:bCs/>
                <w:spacing w:val="-2"/>
                <w:sz w:val="18"/>
                <w:szCs w:val="18"/>
                <w:highlight w:val="none"/>
                <w:u w:val="single"/>
                <w:lang w:val="en-US" w:eastAsia="zh-CN"/>
              </w:rPr>
              <w:t>1</w:t>
            </w:r>
            <w:r>
              <w:rPr>
                <w:rFonts w:hint="eastAsia" w:ascii="楷体" w:hAnsi="楷体" w:eastAsia="楷体" w:cs="宋体"/>
                <w:b/>
                <w:bCs/>
                <w:spacing w:val="-2"/>
                <w:sz w:val="18"/>
                <w:szCs w:val="18"/>
                <w:highlight w:val="none"/>
                <w:u w:val="single"/>
              </w:rPr>
              <w:t>日起</w:t>
            </w:r>
            <w:r>
              <w:rPr>
                <w:rFonts w:hint="eastAsia" w:ascii="楷体" w:hAnsi="楷体" w:eastAsia="楷体" w:cs="宋体"/>
                <w:b/>
                <w:bCs/>
                <w:spacing w:val="-2"/>
                <w:sz w:val="18"/>
                <w:szCs w:val="18"/>
                <w:highlight w:val="none"/>
                <w:u w:val="single"/>
                <w:lang w:val="en-US" w:eastAsia="zh-CN"/>
              </w:rPr>
              <w:t>按开放日</w:t>
            </w:r>
            <w:r>
              <w:rPr>
                <w:rFonts w:hint="eastAsia" w:ascii="楷体" w:hAnsi="楷体" w:eastAsia="楷体" w:cs="宋体"/>
                <w:b/>
                <w:bCs/>
                <w:spacing w:val="-2"/>
                <w:sz w:val="18"/>
                <w:szCs w:val="18"/>
                <w:highlight w:val="none"/>
                <w:u w:val="single"/>
              </w:rPr>
              <w:t>接受投资者</w:t>
            </w:r>
            <w:r>
              <w:rPr>
                <w:rFonts w:hint="eastAsia" w:ascii="楷体" w:hAnsi="楷体" w:eastAsia="楷体" w:cs="宋体"/>
                <w:b/>
                <w:bCs/>
                <w:spacing w:val="-2"/>
                <w:sz w:val="18"/>
                <w:szCs w:val="18"/>
                <w:highlight w:val="none"/>
                <w:u w:val="single"/>
                <w:lang w:val="en-US" w:eastAsia="zh-CN"/>
              </w:rPr>
              <w:t>的</w:t>
            </w:r>
            <w:r>
              <w:rPr>
                <w:rFonts w:hint="eastAsia" w:ascii="楷体" w:hAnsi="楷体" w:eastAsia="楷体" w:cs="宋体"/>
                <w:b/>
                <w:bCs/>
                <w:spacing w:val="-2"/>
                <w:sz w:val="18"/>
                <w:szCs w:val="18"/>
                <w:highlight w:val="none"/>
                <w:u w:val="single"/>
              </w:rPr>
              <w:t>申购/赎回申请，每个</w:t>
            </w:r>
            <w:r>
              <w:rPr>
                <w:rFonts w:hint="eastAsia" w:ascii="楷体" w:hAnsi="楷体" w:eastAsia="楷体" w:cs="宋体"/>
                <w:b/>
                <w:bCs/>
                <w:spacing w:val="-2"/>
                <w:sz w:val="18"/>
                <w:szCs w:val="18"/>
                <w:highlight w:val="none"/>
                <w:u w:val="single"/>
                <w:lang w:val="en-US" w:eastAsia="zh-CN"/>
              </w:rPr>
              <w:t>工作日</w:t>
            </w:r>
            <w:r>
              <w:rPr>
                <w:rFonts w:hint="eastAsia" w:ascii="楷体" w:hAnsi="楷体" w:eastAsia="楷体" w:cs="宋体"/>
                <w:b/>
                <w:bCs/>
                <w:spacing w:val="-2"/>
                <w:sz w:val="18"/>
                <w:szCs w:val="18"/>
                <w:highlight w:val="none"/>
                <w:u w:val="single"/>
              </w:rPr>
              <w:t>为产品开放日。</w:t>
            </w:r>
            <w:r>
              <w:rPr>
                <w:rFonts w:hint="eastAsia" w:ascii="楷体" w:hAnsi="楷体" w:eastAsia="楷体" w:cs="宋体"/>
                <w:spacing w:val="-2"/>
                <w:sz w:val="18"/>
                <w:szCs w:val="18"/>
                <w:highlight w:val="none"/>
              </w:rPr>
              <w:t>管理人有权根据资产运作情况、节假日安排</w:t>
            </w:r>
            <w:r>
              <w:rPr>
                <w:rFonts w:hint="eastAsia" w:ascii="楷体" w:hAnsi="楷体" w:eastAsia="楷体" w:cs="宋体"/>
                <w:spacing w:val="-2"/>
                <w:sz w:val="18"/>
                <w:szCs w:val="18"/>
                <w:highlight w:val="none"/>
                <w:lang w:val="en-US" w:eastAsia="zh-CN"/>
              </w:rPr>
              <w:t>等</w:t>
            </w:r>
            <w:r>
              <w:rPr>
                <w:rFonts w:hint="eastAsia" w:ascii="楷体" w:hAnsi="楷体" w:eastAsia="楷体" w:cs="宋体"/>
                <w:spacing w:val="-2"/>
                <w:sz w:val="18"/>
                <w:szCs w:val="18"/>
                <w:highlight w:val="none"/>
              </w:rPr>
              <w:t>调整开放日，并在调整前进行公告。</w:t>
            </w:r>
            <w:r>
              <w:rPr>
                <w:rFonts w:hint="eastAsia" w:ascii="楷体" w:hAnsi="楷体" w:eastAsia="楷体" w:cs="宋体"/>
                <w:b/>
                <w:bCs/>
                <w:spacing w:val="-2"/>
                <w:sz w:val="18"/>
                <w:szCs w:val="18"/>
                <w:highlight w:val="none"/>
                <w:u w:val="single"/>
                <w:lang w:val="en-US" w:eastAsia="zh-CN"/>
              </w:rPr>
              <w:t>工作日指国家法定工作日</w:t>
            </w:r>
            <w:r>
              <w:rPr>
                <w:rFonts w:hint="eastAsia" w:ascii="楷体" w:hAnsi="楷体" w:eastAsia="楷体" w:cs="宋体"/>
                <w:b/>
                <w:bCs/>
                <w:spacing w:val="-2"/>
                <w:sz w:val="18"/>
                <w:szCs w:val="18"/>
                <w:highlight w:val="none"/>
                <w:u w:val="singl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right="65" w:rightChars="31"/>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单个投资者单笔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42"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元。超过购买上限时，管理人有权拒绝投资者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单个投资者单笔购买上限。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right="65" w:rightChars="31"/>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单个投资者</w:t>
            </w:r>
            <w:r>
              <w:rPr>
                <w:rFonts w:hint="eastAsia" w:ascii="楷体" w:hAnsi="楷体" w:eastAsia="楷体" w:cs="宋体"/>
                <w:b/>
                <w:spacing w:val="-2"/>
                <w:sz w:val="18"/>
                <w:szCs w:val="18"/>
                <w:highlight w:val="none"/>
                <w:lang w:val="en-US" w:eastAsia="zh-CN"/>
              </w:rPr>
              <w:t>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42"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单个投资者单笔赎回上限。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right="65" w:rightChars="31"/>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单个投资者持有比例上限</w:t>
            </w:r>
          </w:p>
        </w:tc>
        <w:tc>
          <w:tcPr>
            <w:tcW w:w="7942"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w:t>
            </w:r>
            <w:r>
              <w:rPr>
                <w:rFonts w:ascii="楷体" w:hAnsi="楷体" w:eastAsia="楷体" w:cs="宋体"/>
                <w:b/>
                <w:spacing w:val="-2"/>
                <w:sz w:val="18"/>
                <w:szCs w:val="18"/>
                <w:highlight w:val="none"/>
              </w:rPr>
              <w:t>申购</w:t>
            </w:r>
          </w:p>
        </w:tc>
        <w:tc>
          <w:tcPr>
            <w:tcW w:w="7942"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w:t>
            </w:r>
            <w:r>
              <w:rPr>
                <w:rFonts w:hint="eastAsia" w:ascii="楷体" w:hAnsi="楷体" w:eastAsia="楷体" w:cs="宋体"/>
                <w:spacing w:val="-2"/>
                <w:kern w:val="0"/>
                <w:sz w:val="18"/>
                <w:szCs w:val="18"/>
                <w:highlight w:val="none"/>
                <w:lang w:val="en-US" w:eastAsia="zh-CN"/>
              </w:rPr>
              <w:t>日日终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2"/>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42"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w:t>
            </w:r>
            <w:r>
              <w:rPr>
                <w:rFonts w:hint="eastAsia" w:ascii="楷体" w:hAnsi="楷体" w:eastAsia="楷体" w:cs="宋体"/>
                <w:b/>
                <w:bCs/>
                <w:spacing w:val="-2"/>
                <w:sz w:val="18"/>
                <w:szCs w:val="18"/>
                <w:highlight w:val="none"/>
                <w:u w:val="single"/>
                <w:lang w:val="en-US" w:eastAsia="zh-CN"/>
              </w:rPr>
              <w:t>日日终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trike/>
                <w:dstrike w:val="0"/>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b w:val="0"/>
                <w:bCs/>
                <w:spacing w:val="-2"/>
                <w:sz w:val="18"/>
                <w:szCs w:val="18"/>
                <w:highlight w:val="none"/>
                <w:u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b w:val="0"/>
                <w:bCs/>
                <w:spacing w:val="-2"/>
                <w:sz w:val="18"/>
                <w:szCs w:val="18"/>
                <w:highlight w:val="none"/>
                <w:u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示例：某投资者当日申请赎回份额5万份，当日全部赎回申请10000万份，假设前一日日终总份额50000万份，发生巨额赎回，管理人当日办理的赎回份额5000万份，则该投资者当日确认办理的份额为5/10000*5000=2.5万份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lang w:val="en-US" w:eastAsia="zh-CN"/>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w:t>
            </w:r>
            <w:r>
              <w:rPr>
                <w:rFonts w:hint="eastAsia" w:ascii="楷体" w:hAnsi="楷体" w:eastAsia="楷体" w:cs="宋体"/>
                <w:b w:val="0"/>
                <w:bCs/>
                <w:spacing w:val="-2"/>
                <w:sz w:val="18"/>
                <w:szCs w:val="18"/>
                <w:highlight w:val="none"/>
                <w:u w:val="none"/>
              </w:rPr>
              <w:t>一个开放日的价格，顺延至下一开放日的赎回申请不享有优先确认权。</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lang w:val="en-US" w:eastAsia="zh-CN"/>
              </w:rPr>
              <w:t>3.延缓支付赎回款项：</w:t>
            </w:r>
            <w:r>
              <w:rPr>
                <w:rFonts w:hint="eastAsia" w:ascii="楷体" w:hAnsi="楷体" w:eastAsia="楷体" w:cs="宋体"/>
                <w:b w:val="0"/>
                <w:bCs/>
                <w:spacing w:val="-2"/>
                <w:sz w:val="18"/>
                <w:szCs w:val="18"/>
                <w:highlight w:val="none"/>
                <w:u w:val="none"/>
              </w:rPr>
              <w:t>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4"/>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34"/>
              <w:keepNext w:val="0"/>
              <w:keepLines w:val="0"/>
              <w:pageBreakBefore w:val="0"/>
              <w:widowControl w:val="0"/>
              <w:kinsoku w:val="0"/>
              <w:wordWrap/>
              <w:overflowPunct w:val="0"/>
              <w:topLinePunct w:val="0"/>
              <w:autoSpaceDE/>
              <w:autoSpaceDN/>
              <w:bidi w:val="0"/>
              <w:adjustRightInd w:val="0"/>
              <w:snapToGrid w:val="0"/>
              <w:ind w:left="2"/>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7942"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1.管理人</w:t>
            </w:r>
            <w:r>
              <w:rPr>
                <w:rFonts w:hint="eastAsia" w:ascii="楷体" w:hAnsi="楷体" w:eastAsia="楷体" w:cs="宋体"/>
                <w:b/>
                <w:spacing w:val="-2"/>
                <w:sz w:val="18"/>
                <w:szCs w:val="18"/>
                <w:highlight w:val="none"/>
                <w:u w:val="single"/>
              </w:rPr>
              <w:t>参考过往投资经验，依据近期</w:t>
            </w:r>
            <w:r>
              <w:rPr>
                <w:rFonts w:hint="eastAsia" w:ascii="楷体" w:hAnsi="楷体" w:eastAsia="楷体" w:cs="宋体"/>
                <w:b/>
                <w:spacing w:val="-2"/>
                <w:sz w:val="18"/>
                <w:szCs w:val="18"/>
                <w:highlight w:val="none"/>
                <w:u w:val="single"/>
                <w:lang w:val="en-US" w:eastAsia="zh-CN"/>
              </w:rPr>
              <w:t>货币市场工具、债券等</w:t>
            </w:r>
            <w:r>
              <w:rPr>
                <w:rFonts w:hint="eastAsia" w:ascii="楷体" w:hAnsi="楷体" w:eastAsia="楷体" w:cs="宋体"/>
                <w:b/>
                <w:spacing w:val="-2"/>
                <w:sz w:val="18"/>
                <w:szCs w:val="18"/>
                <w:highlight w:val="none"/>
                <w:u w:val="single"/>
              </w:rPr>
              <w:t>资产投资收益水平，在产品说明书约定的投资范围和投资比例内，综合考虑各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lang w:val="en-US" w:eastAsia="zh-CN"/>
              </w:rPr>
              <w:t>2.本产品各类份额可能因收取的销售服务费和投资管理费存在差异，业绩比较基准设置有所不同。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中国人民银行公布的7天通知存款利率+0.30%</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4"/>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产品费用</w:t>
            </w:r>
          </w:p>
        </w:tc>
        <w:tc>
          <w:tcPr>
            <w:tcW w:w="7942" w:type="dxa"/>
            <w:noWrap w:val="0"/>
            <w:vAlign w:val="center"/>
          </w:tcPr>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本产品费用包括托管费、销售服务费、投资管理费、超额业绩报酬（如有）以及产品运作和清算中产生的其他费用等。</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1.托管费率（年化）：0.02%。</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2.销售服务费率（年化）：0.50%。</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3.投资管理费率（年化）：0.60%。</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如有）</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val="en-US" w:eastAsia="zh-CN"/>
              </w:rPr>
              <w:t>无。</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份额实际收取的销售服务费率、投资管理费率和超额业绩报酬（如有）可能存在差异，投资者应根据各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pStyle w:val="34"/>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55"/>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收益分配</w:t>
            </w:r>
          </w:p>
        </w:tc>
        <w:tc>
          <w:tcPr>
            <w:tcW w:w="7942"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gridAfter w:val="1"/>
          <w:wAfter w:w="5" w:type="dxa"/>
          <w:jc w:val="center"/>
        </w:trPr>
        <w:tc>
          <w:tcPr>
            <w:tcW w:w="1696" w:type="dxa"/>
            <w:gridSpan w:val="2"/>
            <w:noWrap w:val="0"/>
            <w:vAlign w:val="center"/>
          </w:tcPr>
          <w:p>
            <w:pPr>
              <w:pStyle w:val="34"/>
              <w:keepNext w:val="0"/>
              <w:keepLines w:val="0"/>
              <w:pageBreakBefore w:val="0"/>
              <w:widowControl w:val="0"/>
              <w:kinsoku w:val="0"/>
              <w:wordWrap/>
              <w:overflowPunct w:val="0"/>
              <w:topLinePunct w:val="0"/>
              <w:autoSpaceDE/>
              <w:autoSpaceDN/>
              <w:bidi w:val="0"/>
              <w:adjustRightInd w:val="0"/>
              <w:snapToGrid w:val="0"/>
              <w:ind w:left="55"/>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税款</w:t>
            </w:r>
          </w:p>
        </w:tc>
        <w:tc>
          <w:tcPr>
            <w:tcW w:w="7942"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产品管理人</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keepNext w:val="0"/>
        <w:keepLines w:val="0"/>
        <w:pageBreakBefore w:val="0"/>
        <w:numPr>
          <w:ilvl w:val="0"/>
          <w:numId w:val="0"/>
        </w:numPr>
        <w:wordWrap/>
        <w:topLinePunct w:val="0"/>
        <w:autoSpaceDE/>
        <w:autoSpaceDN/>
        <w:bidi w:val="0"/>
        <w:ind w:left="0" w:firstLine="420" w:firstLineChars="200"/>
        <w:textAlignment w:val="auto"/>
        <w:rPr>
          <w:rFonts w:hint="eastAsia"/>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产品托管人</w:t>
      </w:r>
    </w:p>
    <w:p>
      <w:pPr>
        <w:keepNext w:val="0"/>
        <w:keepLines w:val="0"/>
        <w:pageBreakBefore w:val="0"/>
        <w:numPr>
          <w:ilvl w:val="0"/>
          <w:numId w:val="0"/>
        </w:numPr>
        <w:wordWrap/>
        <w:topLinePunct w:val="0"/>
        <w:autoSpaceDE/>
        <w:autoSpaceDN/>
        <w:bidi w:val="0"/>
        <w:ind w:firstLine="420" w:firstLineChars="200"/>
        <w:textAlignment w:val="auto"/>
        <w:rPr>
          <w:rFonts w:hint="eastAsia"/>
          <w:highlight w:val="none"/>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highlight w:val="none"/>
          <w:u w:val="single"/>
          <w:lang w:eastAsia="zh-CN"/>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销售机构</w:t>
      </w:r>
    </w:p>
    <w:p>
      <w:pPr>
        <w:keepNext w:val="0"/>
        <w:keepLines w:val="0"/>
        <w:pageBreakBefore w:val="0"/>
        <w:numPr>
          <w:ilvl w:val="0"/>
          <w:numId w:val="0"/>
        </w:numPr>
        <w:tabs>
          <w:tab w:val="left" w:pos="1134"/>
        </w:tabs>
        <w:wordWrap/>
        <w:topLinePunct w:val="0"/>
        <w:autoSpaceDE/>
        <w:autoSpaceDN/>
        <w:bidi w:val="0"/>
        <w:ind w:left="0" w:leftChars="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A份额：江苏银行股份有限公司/苏银理财有限责任公司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H份额：苏银理财有限责任公司</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名词释义</w:t>
      </w:r>
    </w:p>
    <w:p>
      <w:pPr>
        <w:keepNext w:val="0"/>
        <w:keepLines w:val="0"/>
        <w:pageBreakBefore w:val="0"/>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7"/>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理财产品用语</w:t>
      </w:r>
    </w:p>
    <w:p>
      <w:pPr>
        <w:keepNext w:val="0"/>
        <w:keepLines w:val="0"/>
        <w:pageBreakBefore w:val="0"/>
        <w:widowControl w:val="0"/>
        <w:numPr>
          <w:ilvl w:val="0"/>
          <w:numId w:val="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8"/>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8"/>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8"/>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8"/>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7"/>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期间与日期</w:t>
      </w:r>
    </w:p>
    <w:p>
      <w:pPr>
        <w:keepNext w:val="0"/>
        <w:keepLines w:val="0"/>
        <w:pageBreakBefore w:val="0"/>
        <w:widowControl w:val="0"/>
        <w:numPr>
          <w:ilvl w:val="0"/>
          <w:numId w:val="9"/>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工作日：指国家法定工作日。</w:t>
      </w:r>
    </w:p>
    <w:p>
      <w:pPr>
        <w:keepNext w:val="0"/>
        <w:keepLines w:val="0"/>
        <w:pageBreakBefore w:val="0"/>
        <w:widowControl w:val="0"/>
        <w:numPr>
          <w:ilvl w:val="0"/>
          <w:numId w:val="9"/>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交易日：</w:t>
      </w:r>
      <w:r>
        <w:rPr>
          <w:rFonts w:ascii="楷体" w:hAnsi="楷体" w:eastAsia="楷体" w:cs="Calibri"/>
          <w:sz w:val="21"/>
          <w:szCs w:val="21"/>
          <w:highlight w:val="none"/>
        </w:rPr>
        <w:t>指上海证券交易所和深圳证券交易所的正常开盘交易日</w:t>
      </w:r>
      <w:r>
        <w:rPr>
          <w:rFonts w:hint="eastAsia" w:ascii="楷体" w:hAnsi="楷体" w:eastAsia="楷体" w:cs="Calibri"/>
          <w:sz w:val="21"/>
          <w:szCs w:val="21"/>
          <w:highlight w:val="none"/>
        </w:rPr>
        <w:t>。</w:t>
      </w:r>
    </w:p>
    <w:p>
      <w:pPr>
        <w:keepNext w:val="0"/>
        <w:keepLines w:val="0"/>
        <w:pageBreakBefore w:val="0"/>
        <w:widowControl w:val="0"/>
        <w:numPr>
          <w:ilvl w:val="0"/>
          <w:numId w:val="9"/>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份额登记日/份额确认日：指管理人对投资者提交的</w:t>
      </w:r>
      <w:r>
        <w:rPr>
          <w:rFonts w:hint="eastAsia" w:ascii="楷体" w:hAnsi="楷体" w:eastAsia="楷体" w:cs="Calibri"/>
          <w:sz w:val="21"/>
          <w:szCs w:val="21"/>
          <w:highlight w:val="none"/>
          <w:lang w:val="en-US" w:eastAsia="zh-CN"/>
        </w:rPr>
        <w:t>购买</w:t>
      </w:r>
      <w:r>
        <w:rPr>
          <w:rFonts w:hint="eastAsia" w:ascii="楷体" w:hAnsi="楷体" w:eastAsia="楷体" w:cs="Calibri"/>
          <w:sz w:val="21"/>
          <w:szCs w:val="21"/>
          <w:highlight w:val="none"/>
        </w:rPr>
        <w:t>申请进行份额登记的日期。</w:t>
      </w:r>
    </w:p>
    <w:p>
      <w:pPr>
        <w:keepNext w:val="0"/>
        <w:keepLines w:val="0"/>
        <w:pageBreakBefore w:val="0"/>
        <w:widowControl w:val="0"/>
        <w:numPr>
          <w:ilvl w:val="0"/>
          <w:numId w:val="9"/>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产品存续期：指自理财产品成立日起，至理财产品终止日的期间。</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投资管理</w:t>
      </w:r>
    </w:p>
    <w:p>
      <w:pPr>
        <w:keepNext w:val="0"/>
        <w:keepLines w:val="0"/>
        <w:pageBreakBefore w:val="0"/>
        <w:widowControl w:val="0"/>
        <w:numPr>
          <w:ilvl w:val="0"/>
          <w:numId w:val="10"/>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投资范围和比例</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val="en-US" w:eastAsia="zh-CN"/>
        </w:rPr>
      </w:pPr>
      <w:r>
        <w:rPr>
          <w:rFonts w:hint="eastAsia" w:ascii="楷体" w:hAnsi="楷体" w:eastAsia="楷体"/>
          <w:sz w:val="21"/>
          <w:szCs w:val="21"/>
          <w:highlight w:val="none"/>
        </w:rPr>
        <w:t>本理财产品</w:t>
      </w:r>
      <w:r>
        <w:rPr>
          <w:rFonts w:hint="eastAsia" w:ascii="楷体" w:hAnsi="楷体" w:eastAsia="楷体"/>
          <w:sz w:val="21"/>
          <w:szCs w:val="21"/>
          <w:highlight w:val="none"/>
          <w:lang w:val="en-US" w:eastAsia="zh-CN"/>
        </w:rPr>
        <w:t>直接或间接投资于现金、银行存款、债券回购、中央银行票据、同业存单、拆借、货币市场基金、债券、在银行间市场和证券交易所市场发行的资产支持证券和监管机构允许投资的其他资产。具体资产投资比例为：固定收益类资产占产品资产总值比例不低于80%，其他符合监管要求的资产占产品资产总值比例不高于20%。</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keepNext w:val="0"/>
        <w:keepLines w:val="0"/>
        <w:pageBreakBefore w:val="0"/>
        <w:widowControl w:val="0"/>
        <w:numPr>
          <w:ilvl w:val="0"/>
          <w:numId w:val="10"/>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投资策略</w:t>
      </w:r>
    </w:p>
    <w:p>
      <w:pPr>
        <w:keepNext w:val="0"/>
        <w:keepLines w:val="0"/>
        <w:pageBreakBefore w:val="0"/>
        <w:widowControl w:val="0"/>
        <w:numPr>
          <w:ilvl w:val="0"/>
          <w:numId w:val="0"/>
        </w:numPr>
        <w:tabs>
          <w:tab w:val="left" w:pos="993"/>
        </w:tabs>
        <w:kinsoku/>
        <w:wordWrap/>
        <w:overflowPunct/>
        <w:topLinePunct w:val="0"/>
        <w:autoSpaceDE/>
        <w:autoSpaceDN/>
        <w:bidi w:val="0"/>
        <w:adjustRightInd/>
        <w:snapToGrid/>
        <w:ind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sz w:val="21"/>
          <w:szCs w:val="21"/>
          <w:highlight w:val="none"/>
        </w:rPr>
        <w:t>本理财产品</w:t>
      </w:r>
      <w:r>
        <w:rPr>
          <w:rFonts w:hint="eastAsia" w:ascii="楷体" w:hAnsi="楷体" w:eastAsia="楷体"/>
          <w:sz w:val="21"/>
          <w:szCs w:val="21"/>
          <w:highlight w:val="none"/>
          <w:lang w:val="en-US" w:eastAsia="zh-CN"/>
        </w:rPr>
        <w:t>低波资产筑底，主投存款、同业存单等低波动资产；部分配置优质高评级债券，适度控制久期，根据市场变化保持合理弹性；严控回撤，进退有度，兼顾收益性与低风险偏好，力争为广大投资者创造稳健的投资回报。</w:t>
      </w:r>
    </w:p>
    <w:p>
      <w:pPr>
        <w:keepNext w:val="0"/>
        <w:keepLines w:val="0"/>
        <w:pageBreakBefore w:val="0"/>
        <w:widowControl w:val="0"/>
        <w:numPr>
          <w:ilvl w:val="0"/>
          <w:numId w:val="10"/>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keepNext w:val="0"/>
        <w:keepLines w:val="0"/>
        <w:pageBreakBefore w:val="0"/>
        <w:numPr>
          <w:ilvl w:val="0"/>
          <w:numId w:val="0"/>
        </w:numPr>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苏豪弘业期货股份有限公司：苏豪弘业期货股份有限公司成立于1995年，隶属于江苏省国资委全资拥有的国有企业江苏省苏豪控股集团有限公司。公司经营范围涵盖商品期货经纪、金融期货经纪、期货投资咨询、资产管理、基金销售业务。</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江苏省国际信托有限责任公司：江苏省国际信托有限责任公司是经江苏省人民政府和中国银行业监督管理委员会批准设立的非银行金融机构，是江苏省国信集团的主要成员企业之一，专业从事金融信托业务。</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创金合信基金管理有限公司：创金合信基金管理有限公司成立于2014年7月9日，由第一创业证券股份有限公司、深圳市金合信投资合伙企业（有限合伙）共同发起设立，注册地为深圳。</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大家资产管理有限责任公司：大家资产管理有限责任公司，简称“大家资产”，公司2022年年末资产管理总规模10,337亿元，位居保险资管行业前10。大家资产是大家保险集团旗下专业资产管理公司。公司于2011年5月经原中国保险监督管理委员会批准正式设立，注册资本6亿元人民币。</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永诚保险资产管理有限公司：永诚保险资产管理有限公司（简称“永诚资产”）是由永诚财产保险股份有限公司全资发起组建的保险资产管理公司，公司注册于浙江省宁波市，注册资本金为人民币3亿元。</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安联保险资产管理有限公司：安联保险资产管理有限公司（简称安联资管或公司）于2021年7月27日获得中国银行保险监督管理委员会的开业批复，成为中国获批开业的外资独资保险资产管理公司，注册资本为五亿元人民币，注册地北京。</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中国人保资产管理有限公司：中国人保资产管理有限公司成立于2003年7月16日，是经国务院同意、原中国保监会批准设立的境内第一家保险资产管理公司，由中国人民保险集团股份有限公司发起。</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太平洋资产管理有限责任公司：太平洋资产管理有限责任公司（以下简称“太保资产”）于2006年6月经中国保监会批准成立，由中国太平洋保险（集团）股份有限公司控股，注册资本21亿元。</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新华资产管理股份有限公司：新华资产管理股份有限公司成立于2006年5月，是国内首批专业保险资产管理机构，前身为新华人寿保险股份有限公司投资管理中心，控股股东为新华人寿保险股份有限公司。2014年2月，经中国保险监督管理委员会批准，注册资本由1亿元增加至5亿元人民币。</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长城财富保险资产管理股份有限公司：长城财富保险资产管理股份有限公司（简称长城财富或公司）于2015年3月18日正式开业，是原中国保监会核准的第十九家保险资产管理公司，公司的主要股东为长城人寿保险股份有限公司、北京金融街投资（集团）有限公司等，注册资本为2亿元人民币，注册地深圳。</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val="en-US" w:eastAsia="zh-CN"/>
        </w:rPr>
        <w:t>建信保险资产管理有限公司：建信保险资产管理有限公司（简称“建信资管”）是由建信保险资管注册地点位于深圳市福田区,总部位于上海陆家嘴，是国内首家银行系保险资产管理公司。近年来继续保持良好发展势头，获得保险资管领域全部七项投资及产品创新能力，建立全资保险私募股权投资子公司，全领域的保险资管平台基本建成。</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陆家嘴国际信托有限公司：陆家嘴国际信托有限公司（简称陆家嘴信托或公司）是上海陆家嘴金融发展有限公司控股的信托机构，注册资本为104亿元。公司注册地为青岛，在部分城市设立业务团队。</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国投泰康信托有限公司：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光大永明资产管理股份有限公司：光大永明资产管理股份有限公司(以下简称“光大永明资产”)于2012年4月11日在北京正式开业,是原中国保监会核准的第十二家保险资产管理公司，目前注册资本金为5亿元人民币。</w:t>
      </w:r>
    </w:p>
    <w:p>
      <w:pPr>
        <w:keepNext w:val="0"/>
        <w:keepLines w:val="0"/>
        <w:pageBreakBefore w:val="0"/>
        <w:widowControl w:val="0"/>
        <w:numPr>
          <w:ilvl w:val="0"/>
          <w:numId w:val="11"/>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val="en-US" w:eastAsia="zh-CN"/>
        </w:rPr>
        <w:t>泰康资产管理有限责任公司：泰康资产管理有限责任公司成立于2006年，注册资本10亿元，是泰康保险集团子公司。截至2023年12月31日，公司管理资产总规模超34000亿元,其中受托管理的第三方资产总规模超20000亿元，另类投资管理规模超4800亿元。</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sz w:val="21"/>
          <w:szCs w:val="21"/>
          <w:highlight w:val="none"/>
        </w:rPr>
        <w:t>产品存续期内合作机构如有变化，管理人将按照监管规定和内部管理制度要求对合作机构进行准入，签署相关协议后，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keepNext w:val="0"/>
        <w:keepLines w:val="0"/>
        <w:pageBreakBefore w:val="0"/>
        <w:widowControl w:val="0"/>
        <w:numPr>
          <w:ilvl w:val="0"/>
          <w:numId w:val="10"/>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投资限制</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本理财产品在开放日及开放日前7个工作日内持有不低于产品资产净值5%的现金或者到期日在一年以内的国债、中央银行票据和政策性金融债券。</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olor w:val="auto"/>
          <w:sz w:val="21"/>
          <w:szCs w:val="21"/>
          <w:highlight w:val="none"/>
        </w:rPr>
        <w:t>在开放</w:t>
      </w:r>
      <w:r>
        <w:rPr>
          <w:rFonts w:hint="eastAsia" w:ascii="楷体" w:hAnsi="楷体" w:eastAsia="楷体" w:cs="楷体"/>
          <w:color w:val="auto"/>
          <w:sz w:val="21"/>
          <w:szCs w:val="21"/>
          <w:highlight w:val="none"/>
        </w:rPr>
        <w:t>日前一工作日内，本理财产品7个工作日可变现资产的可变现价值应当不低于本产品净资产的10%。</w:t>
      </w:r>
    </w:p>
    <w:p>
      <w:pPr>
        <w:keepNext w:val="0"/>
        <w:keepLines w:val="0"/>
        <w:pageBreakBefore w:val="0"/>
        <w:widowControl w:val="0"/>
        <w:numPr>
          <w:ilvl w:val="0"/>
          <w:numId w:val="12"/>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本理财产品投资不存在活跃交易市场并且需要采用估值技术确定公允价值的资产比例不得达到或超过本产品净资产的50%。非因管理人主观因素导致突破前款规定比例限制的,本理财产品不得新增投资上述资产。</w:t>
      </w:r>
    </w:p>
    <w:p>
      <w:pPr>
        <w:keepNext w:val="0"/>
        <w:keepLines w:val="0"/>
        <w:pageBreakBefore w:val="0"/>
        <w:widowControl w:val="0"/>
        <w:numPr>
          <w:ilvl w:val="0"/>
          <w:numId w:val="10"/>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投资管理调整</w:t>
      </w:r>
    </w:p>
    <w:p>
      <w:pPr>
        <w:pStyle w:val="2"/>
        <w:keepNext w:val="0"/>
        <w:keepLines w:val="0"/>
        <w:pageBreakBefore w:val="0"/>
        <w:widowControl w:val="0"/>
        <w:kinsoku/>
        <w:wordWrap/>
        <w:overflowPunct/>
        <w:topLinePunct w:val="0"/>
        <w:autoSpaceDE/>
        <w:autoSpaceDN/>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产品认购</w:t>
      </w:r>
    </w:p>
    <w:p>
      <w:pPr>
        <w:keepNext w:val="0"/>
        <w:keepLines w:val="0"/>
        <w:pageBreakBefore w:val="0"/>
        <w:widowControl w:val="0"/>
        <w:numPr>
          <w:ilvl w:val="0"/>
          <w:numId w:val="1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认购方式</w:t>
      </w:r>
      <w:r>
        <w:rPr>
          <w:rFonts w:hint="eastAsia" w:ascii="楷体" w:hAnsi="楷体" w:eastAsia="楷体" w:cs="Calibri"/>
          <w:b w:val="0"/>
          <w:bCs w:val="0"/>
          <w:color w:val="auto"/>
          <w:sz w:val="21"/>
          <w:szCs w:val="21"/>
          <w:highlight w:val="none"/>
          <w:lang w:val="en-US" w:eastAsia="zh-CN"/>
        </w:rPr>
        <w:t>及确认</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keepNext w:val="0"/>
        <w:keepLines w:val="0"/>
        <w:pageBreakBefore w:val="0"/>
        <w:widowControl w:val="0"/>
        <w:numPr>
          <w:ilvl w:val="0"/>
          <w:numId w:val="1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认购份额的计算</w:t>
      </w:r>
    </w:p>
    <w:p>
      <w:pPr>
        <w:keepNext w:val="0"/>
        <w:keepLines w:val="0"/>
        <w:pageBreakBefore w:val="0"/>
        <w:wordWrap/>
        <w:topLinePunct w:val="0"/>
        <w:autoSpaceDE/>
        <w:autoSpaceDN/>
        <w:bidi w:val="0"/>
        <w:ind w:firstLine="420" w:firstLineChars="200"/>
        <w:textAlignment w:val="auto"/>
        <w:rPr>
          <w:rFonts w:hint="eastAsia"/>
          <w:highlight w:val="none"/>
        </w:rPr>
      </w:pP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认购金额</w:t>
      </w:r>
      <w:r>
        <w:rPr>
          <w:rFonts w:ascii="楷体" w:hAnsi="楷体" w:eastAsia="楷体"/>
          <w:color w:val="auto"/>
          <w:sz w:val="21"/>
          <w:szCs w:val="21"/>
          <w:highlight w:val="none"/>
        </w:rPr>
        <w:t>/</w:t>
      </w:r>
      <w:r>
        <w:rPr>
          <w:rFonts w:hint="eastAsia" w:ascii="楷体" w:hAnsi="楷体" w:eastAsia="楷体"/>
          <w:color w:val="auto"/>
          <w:sz w:val="21"/>
          <w:szCs w:val="21"/>
          <w:highlight w:val="none"/>
        </w:rPr>
        <w:t>产品</w:t>
      </w:r>
      <w:r>
        <w:rPr>
          <w:rFonts w:hint="eastAsia" w:ascii="楷体" w:hAnsi="楷体" w:eastAsia="楷体"/>
          <w:color w:val="auto"/>
          <w:sz w:val="21"/>
          <w:szCs w:val="21"/>
          <w:highlight w:val="none"/>
          <w:lang w:val="en-US" w:eastAsia="zh-CN"/>
        </w:rPr>
        <w:t>份额面值，</w:t>
      </w: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以四舍五入的方法保留到小数点后两位。</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产品申购、赎回</w:t>
      </w:r>
    </w:p>
    <w:p>
      <w:pPr>
        <w:keepNext w:val="0"/>
        <w:keepLines w:val="0"/>
        <w:pageBreakBefore w:val="0"/>
        <w:widowControl w:val="0"/>
        <w:numPr>
          <w:ilvl w:val="0"/>
          <w:numId w:val="14"/>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开放计划</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b w:val="0"/>
          <w:bCs/>
          <w:sz w:val="21"/>
          <w:szCs w:val="21"/>
          <w:highlight w:val="none"/>
        </w:rPr>
        <w:t>本产品</w:t>
      </w:r>
      <w:r>
        <w:rPr>
          <w:rFonts w:hint="eastAsia" w:ascii="楷体" w:hAnsi="楷体" w:eastAsia="楷体" w:cs="Calibri"/>
          <w:b w:val="0"/>
          <w:bCs/>
          <w:sz w:val="21"/>
          <w:szCs w:val="21"/>
          <w:highlight w:val="none"/>
          <w:lang w:val="en-US" w:eastAsia="zh-CN"/>
        </w:rPr>
        <w:t>封闭运作</w:t>
      </w:r>
      <w:r>
        <w:rPr>
          <w:rFonts w:hint="eastAsia" w:ascii="楷体" w:hAnsi="楷体" w:eastAsia="楷体" w:cs="Calibri"/>
          <w:b w:val="0"/>
          <w:bCs/>
          <w:sz w:val="21"/>
          <w:szCs w:val="21"/>
          <w:highlight w:val="none"/>
        </w:rPr>
        <w:t>期结束后</w:t>
      </w:r>
      <w:r>
        <w:rPr>
          <w:rFonts w:hint="eastAsia" w:ascii="楷体" w:hAnsi="楷体" w:eastAsia="楷体" w:cs="Calibri"/>
          <w:b w:val="0"/>
          <w:bCs/>
          <w:sz w:val="21"/>
          <w:szCs w:val="21"/>
          <w:highlight w:val="none"/>
          <w:lang w:val="en-US" w:eastAsia="zh-CN"/>
        </w:rPr>
        <w:t>，按开放日接受投资者的申购/赎回申请，每个工作日为产品开放日（T日）</w:t>
      </w:r>
      <w:r>
        <w:rPr>
          <w:rFonts w:hint="eastAsia" w:ascii="楷体" w:hAnsi="楷体" w:eastAsia="楷体" w:cs="Calibri"/>
          <w:sz w:val="21"/>
          <w:szCs w:val="21"/>
          <w:highlight w:val="none"/>
          <w:lang w:val="en-US" w:eastAsia="zh-CN"/>
        </w:rPr>
        <w:t>。开放日闭市前的申购/赎回申请当日受理</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闭市后的申购/赎回申请</w:t>
      </w:r>
      <w:r>
        <w:rPr>
          <w:rFonts w:hint="eastAsia" w:ascii="楷体" w:hAnsi="楷体" w:eastAsia="楷体" w:cs="Calibri"/>
          <w:sz w:val="21"/>
          <w:szCs w:val="21"/>
          <w:highlight w:val="none"/>
        </w:rPr>
        <w:t>为预受理，视同下一</w:t>
      </w:r>
      <w:r>
        <w:rPr>
          <w:rFonts w:hint="eastAsia" w:ascii="楷体" w:hAnsi="楷体" w:eastAsia="楷体" w:cs="Calibri"/>
          <w:sz w:val="21"/>
          <w:szCs w:val="21"/>
          <w:highlight w:val="none"/>
          <w:lang w:val="en-US" w:eastAsia="zh-CN"/>
        </w:rPr>
        <w:t>开放</w:t>
      </w:r>
      <w:r>
        <w:rPr>
          <w:rFonts w:hint="eastAsia" w:ascii="楷体" w:hAnsi="楷体" w:eastAsia="楷体" w:cs="Calibri"/>
          <w:sz w:val="21"/>
          <w:szCs w:val="21"/>
          <w:highlight w:val="none"/>
        </w:rPr>
        <w:t>日</w:t>
      </w:r>
      <w:r>
        <w:rPr>
          <w:rFonts w:hint="eastAsia" w:ascii="楷体" w:hAnsi="楷体" w:eastAsia="楷体" w:cs="Calibri"/>
          <w:sz w:val="21"/>
          <w:szCs w:val="21"/>
          <w:highlight w:val="none"/>
          <w:lang w:val="en-US" w:eastAsia="zh-CN"/>
        </w:rPr>
        <w:t>申请。投资者</w:t>
      </w:r>
      <w:r>
        <w:rPr>
          <w:rFonts w:hint="eastAsia" w:ascii="楷体" w:hAnsi="楷体" w:eastAsia="楷体" w:cs="Calibri"/>
          <w:sz w:val="21"/>
          <w:szCs w:val="21"/>
          <w:highlight w:val="none"/>
        </w:rPr>
        <w:t>提交的申购/赎回申请可以在产品开放日</w:t>
      </w:r>
      <w:r>
        <w:rPr>
          <w:rFonts w:hint="eastAsia" w:ascii="楷体" w:hAnsi="楷体" w:eastAsia="楷体" w:cs="Calibri"/>
          <w:sz w:val="21"/>
          <w:szCs w:val="21"/>
          <w:highlight w:val="none"/>
          <w:lang w:val="en-US" w:eastAsia="zh-CN"/>
        </w:rPr>
        <w:t>闭市</w:t>
      </w:r>
      <w:r>
        <w:rPr>
          <w:rFonts w:hint="eastAsia" w:ascii="楷体" w:hAnsi="楷体" w:eastAsia="楷体" w:cs="Calibri"/>
          <w:sz w:val="21"/>
          <w:szCs w:val="21"/>
          <w:highlight w:val="none"/>
        </w:rPr>
        <w:t>前撤销，之后不得撤销。（</w:t>
      </w:r>
      <w:r>
        <w:rPr>
          <w:rFonts w:hint="eastAsia" w:ascii="楷体" w:hAnsi="楷体" w:eastAsia="楷体" w:cs="Calibri"/>
          <w:b w:val="0"/>
          <w:bCs/>
          <w:sz w:val="21"/>
          <w:szCs w:val="21"/>
          <w:highlight w:val="none"/>
          <w:lang w:val="en-US" w:eastAsia="zh-CN"/>
        </w:rPr>
        <w:t>开放日闭市时间为17:00，具体</w:t>
      </w:r>
      <w:r>
        <w:rPr>
          <w:rFonts w:hint="eastAsia" w:ascii="楷体" w:hAnsi="楷体" w:eastAsia="楷体" w:cs="Calibri"/>
          <w:b w:val="0"/>
          <w:bCs/>
          <w:sz w:val="21"/>
          <w:szCs w:val="21"/>
          <w:highlight w:val="none"/>
        </w:rPr>
        <w:t>以各销售机构设置为准</w:t>
      </w:r>
      <w:r>
        <w:rPr>
          <w:rFonts w:hint="eastAsia" w:ascii="楷体" w:hAnsi="楷体" w:eastAsia="楷体" w:cs="Calibri"/>
          <w:sz w:val="21"/>
          <w:szCs w:val="21"/>
          <w:highlight w:val="none"/>
        </w:rPr>
        <w:t>）</w:t>
      </w:r>
    </w:p>
    <w:p>
      <w:pPr>
        <w:keepNext w:val="0"/>
        <w:keepLines w:val="0"/>
        <w:pageBreakBefore w:val="0"/>
        <w:widowControl w:val="0"/>
        <w:numPr>
          <w:ilvl w:val="0"/>
          <w:numId w:val="14"/>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申购、赎回的规则</w:t>
      </w:r>
    </w:p>
    <w:p>
      <w:pPr>
        <w:keepNext w:val="0"/>
        <w:keepLines w:val="0"/>
        <w:pageBreakBefore w:val="0"/>
        <w:numPr>
          <w:ilvl w:val="0"/>
          <w:numId w:val="15"/>
        </w:numPr>
        <w:tabs>
          <w:tab w:val="left" w:pos="728"/>
        </w:tabs>
        <w:wordWrap/>
        <w:topLinePunct w:val="0"/>
        <w:autoSpaceDE/>
        <w:autoSpaceDN/>
        <w:bidi w:val="0"/>
        <w:ind w:left="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申购、赎回的原则：投资者必须</w:t>
      </w:r>
      <w:r>
        <w:rPr>
          <w:rFonts w:hint="eastAsia" w:ascii="楷体" w:hAnsi="楷体" w:eastAsia="楷体" w:cs="Calibri"/>
          <w:b w:val="0"/>
          <w:bCs/>
          <w:sz w:val="21"/>
          <w:szCs w:val="21"/>
          <w:highlight w:val="none"/>
        </w:rPr>
        <w:t>在产品开放计划内</w:t>
      </w:r>
      <w:r>
        <w:rPr>
          <w:rFonts w:hint="eastAsia" w:ascii="楷体" w:hAnsi="楷体" w:eastAsia="楷体" w:cs="Calibri"/>
          <w:sz w:val="21"/>
          <w:szCs w:val="21"/>
          <w:highlight w:val="none"/>
        </w:rPr>
        <w:t>提出申购、赎回申请</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采用金额申购、份额赎回的原则，即申购以金额申请，赎回以份额申请。投资者提出申购申请时，须备足购买资金</w:t>
      </w:r>
      <w:r>
        <w:rPr>
          <w:rFonts w:hint="eastAsia" w:ascii="楷体" w:hAnsi="楷体" w:eastAsia="楷体" w:cs="Calibri"/>
          <w:sz w:val="21"/>
          <w:szCs w:val="21"/>
          <w:highlight w:val="none"/>
          <w:lang w:val="en-US" w:eastAsia="zh-CN"/>
        </w:rPr>
        <w:t>；</w:t>
      </w:r>
      <w:r>
        <w:rPr>
          <w:rFonts w:hint="eastAsia" w:ascii="楷体" w:hAnsi="楷体" w:eastAsia="楷体" w:cs="Calibri"/>
          <w:sz w:val="21"/>
          <w:szCs w:val="21"/>
          <w:highlight w:val="none"/>
        </w:rPr>
        <w:t>投资者提出赎回申请时，须有足够的理财产品份额余额。</w:t>
      </w:r>
    </w:p>
    <w:p>
      <w:pPr>
        <w:keepNext w:val="0"/>
        <w:keepLines w:val="0"/>
        <w:pageBreakBefore w:val="0"/>
        <w:numPr>
          <w:ilvl w:val="0"/>
          <w:numId w:val="15"/>
        </w:numPr>
        <w:tabs>
          <w:tab w:val="left" w:pos="728"/>
        </w:tabs>
        <w:wordWrap/>
        <w:topLinePunct w:val="0"/>
        <w:autoSpaceDE/>
        <w:autoSpaceDN/>
        <w:bidi w:val="0"/>
        <w:ind w:left="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申购、赎回的确认：投资者申购/赎回本产品时采用“未知价”原则，投资者</w:t>
      </w:r>
      <w:r>
        <w:rPr>
          <w:rFonts w:hint="eastAsia" w:ascii="楷体" w:hAnsi="楷体" w:eastAsia="楷体" w:cs="Calibri"/>
          <w:b w:val="0"/>
          <w:bCs/>
          <w:sz w:val="21"/>
          <w:szCs w:val="21"/>
          <w:highlight w:val="none"/>
        </w:rPr>
        <w:t>在开放计划内</w:t>
      </w:r>
      <w:r>
        <w:rPr>
          <w:rFonts w:hint="eastAsia" w:ascii="楷体" w:hAnsi="楷体" w:eastAsia="楷体" w:cs="Calibri"/>
          <w:sz w:val="21"/>
          <w:szCs w:val="21"/>
          <w:highlight w:val="none"/>
        </w:rPr>
        <w:t>通过销售机构提出的申购/赎回申请，管理人于</w:t>
      </w:r>
      <w:r>
        <w:rPr>
          <w:rFonts w:hint="eastAsia" w:ascii="楷体" w:hAnsi="楷体" w:eastAsia="楷体" w:cs="Calibri"/>
          <w:sz w:val="21"/>
          <w:szCs w:val="21"/>
          <w:highlight w:val="none"/>
          <w:lang w:val="en-US" w:eastAsia="zh-CN"/>
        </w:rPr>
        <w:t>T+1</w:t>
      </w:r>
      <w:r>
        <w:rPr>
          <w:rFonts w:hint="eastAsia" w:ascii="楷体" w:hAnsi="楷体" w:eastAsia="楷体" w:cs="Calibri"/>
          <w:sz w:val="21"/>
          <w:szCs w:val="21"/>
          <w:highlight w:val="none"/>
        </w:rPr>
        <w:t>日按开放日单位净值对申购/赎回申请予以统一确认。</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cs="Calibri"/>
          <w:sz w:val="21"/>
          <w:szCs w:val="21"/>
          <w:highlight w:val="none"/>
          <w:lang w:val="en-US" w:eastAsia="zh-CN"/>
        </w:rPr>
        <w:t>管理人在份额登记日对投资者的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申请登记成功后并收到投资者全额交付的款项，视为投资者的</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申请生效。投资者应在</w:t>
      </w:r>
      <w:r>
        <w:rPr>
          <w:rFonts w:hint="eastAsia" w:ascii="楷体" w:hAnsi="楷体" w:eastAsia="楷体"/>
          <w:sz w:val="21"/>
          <w:szCs w:val="21"/>
          <w:highlight w:val="none"/>
        </w:rPr>
        <w:t>开放日后</w:t>
      </w:r>
      <w:r>
        <w:rPr>
          <w:rFonts w:hint="eastAsia" w:ascii="楷体" w:hAnsi="楷体" w:eastAsia="楷体" w:cs="Calibri"/>
          <w:sz w:val="21"/>
          <w:szCs w:val="21"/>
          <w:highlight w:val="none"/>
          <w:lang w:val="en-US" w:eastAsia="zh-CN"/>
        </w:rPr>
        <w:t>及时查询最终的成交情况以及</w:t>
      </w:r>
      <w:r>
        <w:rPr>
          <w:rFonts w:hint="eastAsia" w:ascii="楷体" w:hAnsi="楷体" w:eastAsia="楷体"/>
          <w:sz w:val="21"/>
          <w:szCs w:val="21"/>
          <w:highlight w:val="none"/>
        </w:rPr>
        <w:t>申购</w:t>
      </w:r>
      <w:r>
        <w:rPr>
          <w:rFonts w:hint="eastAsia" w:ascii="楷体" w:hAnsi="楷体" w:eastAsia="楷体" w:cs="Calibri"/>
          <w:sz w:val="21"/>
          <w:szCs w:val="21"/>
          <w:highlight w:val="none"/>
          <w:lang w:val="en-US" w:eastAsia="zh-CN"/>
        </w:rPr>
        <w:t>的份额。</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和销售机构的事由出现，造成申购</w:t>
      </w:r>
      <w:r>
        <w:rPr>
          <w:rFonts w:hint="eastAsia" w:ascii="楷体" w:hAnsi="楷体" w:eastAsia="楷体" w:cs="Calibri"/>
          <w:sz w:val="21"/>
          <w:szCs w:val="21"/>
          <w:highlight w:val="none"/>
          <w:lang w:val="en-US" w:eastAsia="zh-CN"/>
        </w:rPr>
        <w:t>申请</w:t>
      </w:r>
      <w:r>
        <w:rPr>
          <w:rFonts w:hint="eastAsia" w:ascii="楷体" w:hAnsi="楷体" w:eastAsia="楷体"/>
          <w:sz w:val="21"/>
          <w:szCs w:val="21"/>
          <w:highlight w:val="none"/>
        </w:rPr>
        <w:t>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投资者赎回资金将在确认日后</w:t>
      </w:r>
      <w:r>
        <w:rPr>
          <w:rFonts w:hint="eastAsia" w:ascii="楷体" w:hAnsi="楷体" w:eastAsia="楷体"/>
          <w:sz w:val="21"/>
          <w:szCs w:val="21"/>
          <w:highlight w:val="none"/>
          <w:lang w:val="en-US" w:eastAsia="zh-CN"/>
        </w:rPr>
        <w:t>4</w:t>
      </w:r>
      <w:r>
        <w:rPr>
          <w:rFonts w:hint="eastAsia" w:ascii="楷体" w:hAnsi="楷体" w:eastAsia="楷体"/>
          <w:sz w:val="21"/>
          <w:szCs w:val="21"/>
          <w:highlight w:val="none"/>
        </w:rPr>
        <w:t>个工作日内到达投资者资金账户。</w:t>
      </w:r>
    </w:p>
    <w:p>
      <w:pPr>
        <w:keepNext w:val="0"/>
        <w:keepLines w:val="0"/>
        <w:pageBreakBefore w:val="0"/>
        <w:widowControl w:val="0"/>
        <w:numPr>
          <w:ilvl w:val="0"/>
          <w:numId w:val="14"/>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申购份额的计算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val="en-US" w:eastAsia="zh-CN"/>
        </w:rPr>
      </w:pPr>
      <w:r>
        <w:rPr>
          <w:rFonts w:hint="eastAsia" w:ascii="楷体" w:hAnsi="楷体" w:eastAsia="楷体"/>
          <w:sz w:val="21"/>
          <w:szCs w:val="21"/>
          <w:highlight w:val="none"/>
        </w:rPr>
        <w:t>申购份额=申购金额/开放日产品单位净值</w:t>
      </w:r>
      <w:r>
        <w:rPr>
          <w:rFonts w:hint="eastAsia" w:ascii="楷体" w:hAnsi="楷体" w:eastAsia="楷体"/>
          <w:sz w:val="21"/>
          <w:szCs w:val="21"/>
          <w:highlight w:val="none"/>
          <w:lang w:eastAsia="zh-CN"/>
        </w:rPr>
        <w:t>，</w:t>
      </w:r>
      <w:r>
        <w:rPr>
          <w:rFonts w:hint="eastAsia" w:ascii="楷体" w:hAnsi="楷体" w:eastAsia="楷体"/>
          <w:sz w:val="21"/>
          <w:szCs w:val="21"/>
          <w:highlight w:val="none"/>
        </w:rPr>
        <w:t>申购份额以四舍五入的方法保留到小数点后两位</w:t>
      </w:r>
      <w:r>
        <w:rPr>
          <w:rFonts w:hint="eastAsia" w:ascii="楷体" w:hAnsi="楷体" w:eastAsia="楷体"/>
          <w:sz w:val="21"/>
          <w:szCs w:val="21"/>
          <w:highlight w:val="none"/>
          <w:lang w:eastAsia="zh-CN"/>
        </w:rPr>
        <w:t>。</w:t>
      </w:r>
    </w:p>
    <w:p>
      <w:pPr>
        <w:keepNext w:val="0"/>
        <w:keepLines w:val="0"/>
        <w:pageBreakBefore w:val="0"/>
        <w:widowControl w:val="0"/>
        <w:numPr>
          <w:ilvl w:val="0"/>
          <w:numId w:val="14"/>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赎回金额的计算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val="en-US" w:eastAsia="zh-CN"/>
        </w:rPr>
      </w:pPr>
      <w:r>
        <w:rPr>
          <w:rFonts w:hint="eastAsia" w:ascii="楷体" w:hAnsi="楷体" w:eastAsia="楷体"/>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sz w:val="21"/>
          <w:szCs w:val="21"/>
          <w:highlight w:val="none"/>
          <w:lang w:eastAsia="zh-CN"/>
        </w:rPr>
        <w:t>，</w:t>
      </w:r>
      <w:r>
        <w:rPr>
          <w:rFonts w:hint="eastAsia" w:ascii="楷体" w:hAnsi="楷体" w:eastAsia="楷体"/>
          <w:sz w:val="21"/>
          <w:szCs w:val="21"/>
          <w:highlight w:val="none"/>
        </w:rPr>
        <w:t>赎回金额以四舍五入的方法保留到小数点后两位</w:t>
      </w:r>
      <w:r>
        <w:rPr>
          <w:rFonts w:hint="eastAsia" w:ascii="楷体" w:hAnsi="楷体" w:eastAsia="楷体"/>
          <w:sz w:val="21"/>
          <w:szCs w:val="21"/>
          <w:highlight w:val="none"/>
          <w:lang w:eastAsia="zh-CN"/>
        </w:rPr>
        <w:t>。</w:t>
      </w:r>
    </w:p>
    <w:p>
      <w:pPr>
        <w:keepNext w:val="0"/>
        <w:keepLines w:val="0"/>
        <w:pageBreakBefore w:val="0"/>
        <w:widowControl w:val="0"/>
        <w:numPr>
          <w:ilvl w:val="0"/>
          <w:numId w:val="14"/>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巨额赎回：详见“产品要素”。</w:t>
      </w:r>
    </w:p>
    <w:p>
      <w:pPr>
        <w:keepNext w:val="0"/>
        <w:keepLines w:val="0"/>
        <w:pageBreakBefore w:val="0"/>
        <w:widowControl w:val="0"/>
        <w:numPr>
          <w:ilvl w:val="0"/>
          <w:numId w:val="14"/>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特殊情形及处理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产品终止</w:t>
      </w:r>
    </w:p>
    <w:p>
      <w:pPr>
        <w:keepNext w:val="0"/>
        <w:keepLines w:val="0"/>
        <w:pageBreakBefore w:val="0"/>
        <w:widowControl w:val="0"/>
        <w:numPr>
          <w:ilvl w:val="0"/>
          <w:numId w:val="16"/>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6"/>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6"/>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keepNext w:val="0"/>
        <w:keepLines w:val="0"/>
        <w:pageBreakBefore w:val="0"/>
        <w:widowControl w:val="0"/>
        <w:numPr>
          <w:ilvl w:val="0"/>
          <w:numId w:val="16"/>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6"/>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4"/>
          <w:szCs w:val="24"/>
          <w:highlight w:val="none"/>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w:t>
      </w:r>
      <w:r>
        <w:rPr>
          <w:rFonts w:hint="eastAsia" w:ascii="楷体" w:hAnsi="楷体" w:eastAsia="楷体" w:cs="Calibri"/>
          <w:color w:val="auto"/>
          <w:sz w:val="21"/>
          <w:szCs w:val="21"/>
          <w:highlight w:val="none"/>
        </w:rPr>
        <w:t>日则相应顺延。</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情景示例</w:t>
      </w:r>
    </w:p>
    <w:p>
      <w:pPr>
        <w:keepNext w:val="0"/>
        <w:keepLines w:val="0"/>
        <w:pageBreakBefore w:val="0"/>
        <w:widowControl w:val="0"/>
        <w:tabs>
          <w:tab w:val="left" w:pos="993"/>
        </w:tabs>
        <w:kinsoku/>
        <w:wordWrap/>
        <w:overflowPunct/>
        <w:topLinePunct w:val="0"/>
        <w:autoSpaceDE/>
        <w:autoSpaceDN/>
        <w:bidi w:val="0"/>
        <w:adjustRightInd/>
        <w:snapToGrid/>
        <w:ind w:left="0" w:firstLine="422" w:firstLineChars="200"/>
        <w:textAlignment w:val="auto"/>
        <w:rPr>
          <w:rFonts w:hint="eastAsia" w:ascii="楷体" w:hAnsi="楷体" w:eastAsia="楷体" w:cs="Calibri"/>
          <w:b/>
          <w:sz w:val="21"/>
          <w:szCs w:val="21"/>
          <w:highlight w:val="none"/>
          <w:u w:val="single"/>
        </w:rPr>
      </w:pPr>
      <w:r>
        <w:rPr>
          <w:rFonts w:hint="eastAsia" w:ascii="楷体" w:hAnsi="楷体" w:eastAsia="楷体" w:cs="Calibri"/>
          <w:b/>
          <w:sz w:val="21"/>
          <w:szCs w:val="21"/>
          <w:highlight w:val="none"/>
          <w:u w:val="single"/>
        </w:rPr>
        <w:t>以下示例均为假设情况，不代表本产品实际投资业绩。</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情景一</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val="en-US" w:eastAsia="zh-CN"/>
        </w:rPr>
      </w:pPr>
      <w:r>
        <w:rPr>
          <w:rFonts w:ascii="楷体" w:hAnsi="楷体" w:eastAsia="楷体"/>
          <w:sz w:val="21"/>
          <w:szCs w:val="21"/>
          <w:highlight w:val="none"/>
        </w:rPr>
        <w:t>假定投资者</w:t>
      </w:r>
      <w:r>
        <w:rPr>
          <w:rFonts w:hint="eastAsia" w:ascii="楷体" w:hAnsi="楷体" w:eastAsia="楷体"/>
          <w:sz w:val="21"/>
          <w:szCs w:val="21"/>
          <w:highlight w:val="none"/>
        </w:rPr>
        <w:t>申购1</w:t>
      </w:r>
      <w:r>
        <w:rPr>
          <w:rFonts w:ascii="楷体" w:hAnsi="楷体" w:eastAsia="楷体"/>
          <w:sz w:val="21"/>
          <w:szCs w:val="21"/>
          <w:highlight w:val="none"/>
        </w:rPr>
        <w:t>0000元</w:t>
      </w:r>
      <w:r>
        <w:rPr>
          <w:rFonts w:hint="eastAsia" w:ascii="楷体" w:hAnsi="楷体" w:eastAsia="楷体"/>
          <w:sz w:val="21"/>
          <w:szCs w:val="21"/>
          <w:highlight w:val="none"/>
          <w:lang w:val="en-US" w:eastAsia="zh-CN"/>
        </w:rPr>
        <w:t>本产品</w:t>
      </w:r>
      <w:r>
        <w:rPr>
          <w:rFonts w:ascii="楷体" w:hAnsi="楷体" w:eastAsia="楷体"/>
          <w:sz w:val="21"/>
          <w:szCs w:val="21"/>
          <w:highlight w:val="none"/>
        </w:rPr>
        <w:t>，</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w:t>
      </w:r>
      <w:r>
        <w:rPr>
          <w:rFonts w:ascii="楷体" w:hAnsi="楷体" w:eastAsia="楷体"/>
          <w:sz w:val="21"/>
          <w:szCs w:val="21"/>
          <w:highlight w:val="none"/>
        </w:rPr>
        <w:t>为1.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持有一段时间后某个开放日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产品单位净值为1.090221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w:t>
      </w:r>
      <w:r>
        <w:rPr>
          <w:rFonts w:ascii="楷体" w:hAnsi="楷体" w:eastAsia="楷体"/>
          <w:sz w:val="21"/>
          <w:szCs w:val="21"/>
          <w:highlight w:val="none"/>
        </w:rPr>
        <w:t>×</w:t>
      </w:r>
      <w:r>
        <w:rPr>
          <w:rFonts w:hint="eastAsia" w:ascii="楷体" w:hAnsi="楷体" w:eastAsia="楷体"/>
          <w:sz w:val="21"/>
          <w:szCs w:val="21"/>
          <w:highlight w:val="none"/>
        </w:rPr>
        <w:t>1.090221=10091.52元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w:t>
      </w:r>
      <w:r>
        <w:rPr>
          <w:rFonts w:ascii="楷体" w:hAnsi="楷体" w:eastAsia="楷体"/>
          <w:sz w:val="21"/>
          <w:szCs w:val="21"/>
          <w:highlight w:val="none"/>
        </w:rPr>
        <w:t>投资收益金额=</w:t>
      </w:r>
      <w:r>
        <w:rPr>
          <w:rFonts w:hint="eastAsia" w:ascii="楷体" w:hAnsi="楷体" w:eastAsia="楷体"/>
          <w:sz w:val="21"/>
          <w:szCs w:val="21"/>
          <w:highlight w:val="none"/>
        </w:rPr>
        <w:t>10091.52</w:t>
      </w:r>
      <w:r>
        <w:rPr>
          <w:rFonts w:ascii="楷体" w:hAnsi="楷体" w:eastAsia="楷体"/>
          <w:sz w:val="21"/>
          <w:szCs w:val="21"/>
          <w:highlight w:val="none"/>
        </w:rPr>
        <w:t>-</w:t>
      </w:r>
      <w:r>
        <w:rPr>
          <w:rFonts w:hint="eastAsia" w:ascii="楷体" w:hAnsi="楷体" w:eastAsia="楷体"/>
          <w:sz w:val="21"/>
          <w:szCs w:val="21"/>
          <w:highlight w:val="none"/>
        </w:rPr>
        <w:t>10000=91.52元</w:t>
      </w:r>
    </w:p>
    <w:p>
      <w:pPr>
        <w:keepNext w:val="0"/>
        <w:keepLines w:val="0"/>
        <w:pageBreakBefore w:val="0"/>
        <w:widowControl w:val="0"/>
        <w:numPr>
          <w:ilvl w:val="0"/>
          <w:numId w:val="17"/>
        </w:numPr>
        <w:tabs>
          <w:tab w:val="left" w:pos="728"/>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情景二</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rPr>
        <w:t>假定投资者申购10000元</w:t>
      </w:r>
      <w:r>
        <w:rPr>
          <w:rFonts w:hint="eastAsia" w:ascii="楷体" w:hAnsi="楷体" w:eastAsia="楷体"/>
          <w:sz w:val="21"/>
          <w:szCs w:val="21"/>
          <w:highlight w:val="none"/>
          <w:lang w:val="en-US" w:eastAsia="zh-CN"/>
        </w:rPr>
        <w:t>本产品</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产品单位净值为1.080334，投资者申购确认份额为9256.40份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持有一段时间后某个开放日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产品单位净值为1.074231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投资者赎回兑付金额=9256.40×1.074231=9943.51元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投资者投资收益金额=9943.51-10000=-56.49元</w:t>
      </w:r>
    </w:p>
    <w:p>
      <w:pPr>
        <w:keepNext w:val="0"/>
        <w:keepLines w:val="0"/>
        <w:pageBreakBefore w:val="0"/>
        <w:widowControl w:val="0"/>
        <w:kinsoku/>
        <w:wordWrap/>
        <w:overflowPunct/>
        <w:topLinePunct w:val="0"/>
        <w:autoSpaceDE/>
        <w:autoSpaceDN/>
        <w:bidi w:val="0"/>
        <w:adjustRightInd/>
        <w:snapToGrid/>
        <w:ind w:left="0" w:firstLine="420" w:firstLineChars="200"/>
        <w:textAlignment w:val="auto"/>
        <w:rPr>
          <w:rFonts w:hint="eastAsia" w:ascii="楷体" w:hAnsi="楷体" w:eastAsia="楷体" w:cs="Calibri"/>
          <w:sz w:val="21"/>
          <w:szCs w:val="21"/>
          <w:highlight w:val="none"/>
        </w:rPr>
      </w:pPr>
      <w:r>
        <w:rPr>
          <w:rFonts w:hint="eastAsia" w:ascii="楷体" w:hAnsi="楷体" w:eastAsia="楷体"/>
          <w:sz w:val="21"/>
          <w:szCs w:val="21"/>
          <w:highlight w:val="none"/>
        </w:rPr>
        <w:t>投资者投资本理财产品实际亏损56.49元，</w:t>
      </w:r>
      <w:r>
        <w:rPr>
          <w:rFonts w:hint="eastAsia" w:ascii="楷体" w:hAnsi="楷体" w:eastAsia="楷体"/>
          <w:b/>
          <w:sz w:val="21"/>
          <w:szCs w:val="21"/>
          <w:highlight w:val="none"/>
          <w:u w:val="single"/>
        </w:rPr>
        <w:t>最不利的情形下，投资者可能损失100%本金。</w:t>
      </w:r>
    </w:p>
    <w:p>
      <w:pPr>
        <w:keepNext w:val="0"/>
        <w:keepLines w:val="0"/>
        <w:pageBreakBefore w:val="0"/>
        <w:widowControl w:val="0"/>
        <w:kinsoku/>
        <w:wordWrap/>
        <w:overflowPunct/>
        <w:topLinePunct w:val="0"/>
        <w:autoSpaceDE/>
        <w:autoSpaceDN/>
        <w:bidi w:val="0"/>
        <w:adjustRightInd/>
        <w:snapToGrid/>
        <w:ind w:left="0" w:firstLine="422" w:firstLineChars="200"/>
        <w:textAlignment w:val="auto"/>
        <w:rPr>
          <w:rFonts w:hint="eastAsia" w:ascii="楷体" w:hAnsi="楷体" w:eastAsia="楷体"/>
          <w:sz w:val="21"/>
          <w:szCs w:val="21"/>
          <w:highlight w:val="none"/>
        </w:rPr>
      </w:pPr>
      <w:r>
        <w:rPr>
          <w:rFonts w:hint="eastAsia" w:ascii="楷体" w:hAnsi="楷体" w:eastAsia="楷体"/>
          <w:b/>
          <w:sz w:val="21"/>
          <w:szCs w:val="21"/>
          <w:highlight w:val="none"/>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产品费用</w:t>
      </w:r>
    </w:p>
    <w:p>
      <w:pPr>
        <w:keepNext w:val="0"/>
        <w:keepLines w:val="0"/>
        <w:pageBreakBefore w:val="0"/>
        <w:numPr>
          <w:ilvl w:val="0"/>
          <w:numId w:val="0"/>
        </w:numPr>
        <w:wordWrap/>
        <w:topLinePunct w:val="0"/>
        <w:autoSpaceDE/>
        <w:autoSpaceDN/>
        <w:bidi w:val="0"/>
        <w:ind w:left="0" w:firstLine="420" w:firstLineChars="200"/>
        <w:textAlignment w:val="auto"/>
        <w:rPr>
          <w:rFonts w:hint="default" w:ascii="楷体" w:hAnsi="楷体" w:eastAsia="楷体" w:cs="Calibri"/>
          <w:color w:val="auto"/>
          <w:sz w:val="21"/>
          <w:szCs w:val="21"/>
          <w:highlight w:val="none"/>
        </w:rPr>
      </w:pPr>
      <w:r>
        <w:rPr>
          <w:rFonts w:hint="eastAsia" w:ascii="楷体" w:hAnsi="楷体" w:eastAsia="楷体"/>
          <w:color w:val="auto"/>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color w:val="auto"/>
          <w:sz w:val="21"/>
          <w:szCs w:val="21"/>
          <w:highlight w:val="none"/>
        </w:rPr>
        <w:t>计提方法</w:t>
      </w:r>
      <w:r>
        <w:rPr>
          <w:rFonts w:hint="eastAsia" w:ascii="楷体" w:hAnsi="楷体" w:eastAsia="楷体" w:cs="Calibri"/>
          <w:color w:val="auto"/>
          <w:sz w:val="21"/>
          <w:szCs w:val="21"/>
          <w:highlight w:val="none"/>
          <w:lang w:val="en-US" w:eastAsia="zh-CN"/>
        </w:rPr>
        <w:t>如下:</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r>
        <w:rPr>
          <w:rFonts w:hint="eastAsia" w:ascii="楷体" w:hAnsi="楷体" w:eastAsia="楷体" w:cs="Calibri"/>
          <w:color w:val="auto"/>
          <w:sz w:val="21"/>
          <w:szCs w:val="21"/>
          <w:highlight w:val="none"/>
          <w:lang w:eastAsia="zh-CN"/>
        </w:rPr>
        <w:t>。</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无。</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本产品不收取认购费用、申购费用、赎回费用。</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lang w:val="en-US" w:eastAsia="zh-CN"/>
        </w:rPr>
        <w:t>费用计算</w:t>
      </w:r>
      <w:r>
        <w:rPr>
          <w:rFonts w:hint="eastAsia" w:ascii="楷体" w:hAnsi="楷体" w:eastAsia="楷体" w:cs="楷体"/>
          <w:color w:val="auto"/>
          <w:sz w:val="21"/>
          <w:szCs w:val="21"/>
          <w:highlight w:val="none"/>
        </w:rPr>
        <w:t>四舍五入保留至小数点后两位</w:t>
      </w:r>
      <w:r>
        <w:rPr>
          <w:rFonts w:hint="eastAsia" w:ascii="楷体" w:hAnsi="楷体" w:eastAsia="楷体" w:cs="楷体"/>
          <w:color w:val="auto"/>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highlight w:val="none"/>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产品估值</w:t>
      </w:r>
    </w:p>
    <w:p>
      <w:pPr>
        <w:keepNext w:val="0"/>
        <w:keepLines w:val="0"/>
        <w:pageBreakBefore w:val="0"/>
        <w:widowControl w:val="0"/>
        <w:numPr>
          <w:ilvl w:val="0"/>
          <w:numId w:val="19"/>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估值对象</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本产品所拥有的各类证券、银行存款、应收款项及其它资产及负债。</w:t>
      </w:r>
    </w:p>
    <w:p>
      <w:pPr>
        <w:keepNext w:val="0"/>
        <w:keepLines w:val="0"/>
        <w:pageBreakBefore w:val="0"/>
        <w:widowControl w:val="0"/>
        <w:numPr>
          <w:ilvl w:val="0"/>
          <w:numId w:val="19"/>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估值要求</w:t>
      </w:r>
    </w:p>
    <w:p>
      <w:pPr>
        <w:keepNext w:val="0"/>
        <w:keepLines w:val="0"/>
        <w:pageBreakBefore w:val="0"/>
        <w:widowControl w:val="0"/>
        <w:numPr>
          <w:ilvl w:val="0"/>
          <w:numId w:val="20"/>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p>
    <w:p>
      <w:pPr>
        <w:keepNext w:val="0"/>
        <w:keepLines w:val="0"/>
        <w:pageBreakBefore w:val="0"/>
        <w:widowControl w:val="0"/>
        <w:numPr>
          <w:ilvl w:val="0"/>
          <w:numId w:val="20"/>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本产品单位净值精确到小数点后</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位，小数点</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位后截位。</w:t>
      </w:r>
    </w:p>
    <w:p>
      <w:pPr>
        <w:keepNext w:val="0"/>
        <w:keepLines w:val="0"/>
        <w:pageBreakBefore w:val="0"/>
        <w:widowControl w:val="0"/>
        <w:numPr>
          <w:ilvl w:val="0"/>
          <w:numId w:val="19"/>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估值方法</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1.存款类资产、货币市场工具：以本金列示，逐日计提利息。</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2.货币市场基金：按公允价值进行估值，以估值截止时间点能够取得的最新每万份收益进行估值。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3.债券类资产：按公允价值进行估值，采用市价、监管认可的第三方估值机构提供的估值价格进行估值。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4.权益类资产：按公允价值进行估值，采用市价、监管认可的第三方估值机构提供的估值价格进行估值。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5.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6.其他资产：按公允价值进行估值。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如有新增事项或变更事项，按国家法律法规及监管最新规定执行。</w:t>
      </w:r>
    </w:p>
    <w:p>
      <w:pPr>
        <w:keepNext w:val="0"/>
        <w:keepLines w:val="0"/>
        <w:pageBreakBefore w:val="0"/>
        <w:widowControl w:val="0"/>
        <w:numPr>
          <w:ilvl w:val="0"/>
          <w:numId w:val="19"/>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估值错误的处理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9"/>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暂停估值</w:t>
      </w:r>
    </w:p>
    <w:p>
      <w:pPr>
        <w:keepNext w:val="0"/>
        <w:keepLines w:val="0"/>
        <w:pageBreakBefore w:val="0"/>
        <w:wordWrap/>
        <w:topLinePunct w:val="0"/>
        <w:autoSpaceDE/>
        <w:autoSpaceDN/>
        <w:bidi w:val="0"/>
        <w:ind w:firstLine="420" w:firstLineChars="200"/>
        <w:textAlignment w:val="auto"/>
        <w:rPr>
          <w:highlight w:val="none"/>
        </w:rPr>
      </w:pPr>
      <w:r>
        <w:rPr>
          <w:rFonts w:hint="eastAsia" w:ascii="楷体" w:hAnsi="楷体" w:eastAsia="楷体"/>
          <w:b w:val="0"/>
          <w:bCs w:val="0"/>
          <w:color w:val="auto"/>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信息披露</w:t>
      </w:r>
    </w:p>
    <w:p>
      <w:pPr>
        <w:keepNext w:val="0"/>
        <w:keepLines w:val="0"/>
        <w:pageBreakBefore w:val="0"/>
        <w:widowControl w:val="0"/>
        <w:numPr>
          <w:ilvl w:val="0"/>
          <w:numId w:val="21"/>
        </w:numPr>
        <w:tabs>
          <w:tab w:val="left" w:pos="993"/>
        </w:tabs>
        <w:kinsoku/>
        <w:wordWrap/>
        <w:overflowPunct/>
        <w:topLinePunct w:val="0"/>
        <w:autoSpaceDE/>
        <w:autoSpaceDN/>
        <w:bidi w:val="0"/>
        <w:adjustRightInd/>
        <w:snapToGrid/>
        <w:ind w:left="0" w:leftChars="0" w:firstLine="420" w:firstLineChars="200"/>
        <w:textAlignment w:val="auto"/>
        <w:outlineLvl w:val="1"/>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信息披露</w:t>
      </w:r>
      <w:r>
        <w:rPr>
          <w:rFonts w:hint="eastAsia" w:ascii="楷体" w:hAnsi="楷体" w:eastAsia="楷体" w:cs="Calibri"/>
          <w:b w:val="0"/>
          <w:bCs/>
          <w:sz w:val="21"/>
          <w:szCs w:val="21"/>
          <w:highlight w:val="none"/>
          <w:lang w:val="en-US" w:eastAsia="zh-CN"/>
        </w:rPr>
        <w:t>方式</w:t>
      </w:r>
    </w:p>
    <w:p>
      <w:pPr>
        <w:keepNext w:val="0"/>
        <w:keepLines w:val="0"/>
        <w:pageBreakBefore w:val="0"/>
        <w:widowControl w:val="0"/>
        <w:numPr>
          <w:ilvl w:val="0"/>
          <w:numId w:val="2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通过苏银理财有限责任公司官方网站（</w:t>
      </w:r>
      <w:r>
        <w:rPr>
          <w:rFonts w:ascii="楷体" w:hAnsi="楷体" w:eastAsia="楷体" w:cs="Calibri"/>
          <w:b w:val="0"/>
          <w:bCs w:val="0"/>
          <w:sz w:val="21"/>
          <w:szCs w:val="21"/>
          <w:highlight w:val="none"/>
        </w:rPr>
        <w:t>www</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suyinwealth</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com</w:t>
      </w:r>
      <w:r>
        <w:rPr>
          <w:rFonts w:hint="eastAsia" w:ascii="楷体" w:hAnsi="楷体" w:eastAsia="楷体" w:cs="Calibri"/>
          <w:b w:val="0"/>
          <w:bCs w:val="0"/>
          <w:sz w:val="21"/>
          <w:szCs w:val="21"/>
          <w:highlight w:val="none"/>
        </w:rPr>
        <w:t>）进行信息披露。</w:t>
      </w:r>
    </w:p>
    <w:p>
      <w:pPr>
        <w:keepNext w:val="0"/>
        <w:keepLines w:val="0"/>
        <w:pageBreakBefore w:val="0"/>
        <w:widowControl w:val="0"/>
        <w:numPr>
          <w:ilvl w:val="0"/>
          <w:numId w:val="22"/>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将信息披露内容发送销售机构，由销售机构通过</w:t>
      </w:r>
      <w:r>
        <w:rPr>
          <w:rFonts w:hint="eastAsia" w:ascii="楷体" w:hAnsi="楷体" w:eastAsia="楷体" w:cs="Calibri"/>
          <w:b w:val="0"/>
          <w:bCs w:val="0"/>
          <w:sz w:val="21"/>
          <w:szCs w:val="21"/>
          <w:highlight w:val="none"/>
          <w:lang w:val="en-US" w:eastAsia="zh-CN"/>
        </w:rPr>
        <w:t>短信及</w:t>
      </w:r>
      <w:r>
        <w:rPr>
          <w:rFonts w:hint="eastAsia" w:ascii="楷体" w:hAnsi="楷体" w:eastAsia="楷体" w:cs="Calibri"/>
          <w:b w:val="0"/>
          <w:bCs w:val="0"/>
          <w:sz w:val="21"/>
          <w:szCs w:val="21"/>
          <w:highlight w:val="none"/>
        </w:rPr>
        <w:t>销售机构电子渠道和营业网点</w:t>
      </w:r>
      <w:r>
        <w:rPr>
          <w:rFonts w:hint="eastAsia" w:ascii="楷体" w:hAnsi="楷体" w:eastAsia="楷体" w:cs="Calibri"/>
          <w:b w:val="0"/>
          <w:bCs w:val="0"/>
          <w:sz w:val="21"/>
          <w:szCs w:val="21"/>
          <w:highlight w:val="none"/>
          <w:lang w:val="en-US" w:eastAsia="zh-CN"/>
        </w:rPr>
        <w:t>等方式</w:t>
      </w:r>
      <w:r>
        <w:rPr>
          <w:rFonts w:hint="eastAsia" w:ascii="楷体" w:hAnsi="楷体" w:eastAsia="楷体" w:cs="Calibri"/>
          <w:b w:val="0"/>
          <w:bCs w:val="0"/>
          <w:sz w:val="21"/>
          <w:szCs w:val="21"/>
          <w:highlight w:val="none"/>
        </w:rPr>
        <w:t>进行信息披露。</w:t>
      </w:r>
    </w:p>
    <w:p>
      <w:pPr>
        <w:keepNext w:val="0"/>
        <w:keepLines w:val="0"/>
        <w:pageBreakBefore w:val="0"/>
        <w:numPr>
          <w:ilvl w:val="0"/>
          <w:numId w:val="0"/>
        </w:numPr>
        <w:wordWrap/>
        <w:topLinePunct w:val="0"/>
        <w:autoSpaceDE/>
        <w:autoSpaceDN/>
        <w:bidi w:val="0"/>
        <w:ind w:left="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b w:val="0"/>
          <w:bCs w:val="0"/>
          <w:sz w:val="21"/>
          <w:szCs w:val="21"/>
          <w:highlight w:val="none"/>
        </w:rPr>
        <w:t>相关信息在发布或发出之日视为通知已送达投资者并生效，</w:t>
      </w:r>
      <w:r>
        <w:rPr>
          <w:rFonts w:hint="eastAsia" w:ascii="楷体" w:hAnsi="楷体" w:eastAsia="楷体"/>
          <w:b w:val="0"/>
          <w:bCs w:val="0"/>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b w:val="0"/>
          <w:bCs w:val="0"/>
          <w:sz w:val="21"/>
          <w:szCs w:val="21"/>
          <w:highlight w:val="none"/>
        </w:rPr>
        <w:t>请</w:t>
      </w:r>
      <w:r>
        <w:rPr>
          <w:rFonts w:hint="eastAsia" w:ascii="楷体" w:hAnsi="楷体" w:eastAsia="楷体"/>
          <w:b w:val="0"/>
          <w:bCs w:val="0"/>
          <w:sz w:val="21"/>
          <w:szCs w:val="21"/>
          <w:highlight w:val="none"/>
          <w:lang w:val="en-US" w:eastAsia="zh-CN"/>
        </w:rPr>
        <w:t>投资者</w:t>
      </w:r>
      <w:r>
        <w:rPr>
          <w:rFonts w:hint="eastAsia" w:ascii="楷体" w:hAnsi="楷体" w:eastAsia="楷体"/>
          <w:b w:val="0"/>
          <w:bCs w:val="0"/>
          <w:sz w:val="21"/>
          <w:szCs w:val="21"/>
          <w:highlight w:val="none"/>
        </w:rPr>
        <w:t>及时登陆苏银理财有限责任</w:t>
      </w:r>
      <w:r>
        <w:rPr>
          <w:rFonts w:hint="eastAsia" w:ascii="楷体" w:hAnsi="楷体" w:eastAsia="楷体"/>
          <w:b w:val="0"/>
          <w:bCs w:val="0"/>
          <w:sz w:val="21"/>
          <w:szCs w:val="21"/>
          <w:highlight w:val="none"/>
          <w:lang w:val="en-US" w:eastAsia="zh-CN"/>
        </w:rPr>
        <w:t>公司</w:t>
      </w:r>
      <w:r>
        <w:rPr>
          <w:rFonts w:hint="eastAsia" w:ascii="楷体" w:hAnsi="楷体" w:eastAsia="楷体"/>
          <w:b w:val="0"/>
          <w:bCs w:val="0"/>
          <w:sz w:val="21"/>
          <w:szCs w:val="21"/>
          <w:highlight w:val="none"/>
        </w:rPr>
        <w:t>官方网站或者向销售机构查询获取披露信息</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21"/>
        </w:numPr>
        <w:tabs>
          <w:tab w:val="left" w:pos="993"/>
        </w:tabs>
        <w:kinsoku/>
        <w:wordWrap/>
        <w:overflowPunct/>
        <w:topLinePunct w:val="0"/>
        <w:autoSpaceDE/>
        <w:autoSpaceDN/>
        <w:bidi w:val="0"/>
        <w:adjustRightInd/>
        <w:snapToGrid/>
        <w:ind w:left="0" w:leftChars="0" w:firstLine="420" w:firstLineChars="200"/>
        <w:textAlignment w:val="auto"/>
        <w:outlineLvl w:val="1"/>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信息披露</w:t>
      </w:r>
      <w:r>
        <w:rPr>
          <w:rFonts w:hint="eastAsia" w:ascii="楷体" w:hAnsi="楷体" w:eastAsia="楷体" w:cs="Calibri"/>
          <w:b w:val="0"/>
          <w:bCs/>
          <w:sz w:val="21"/>
          <w:szCs w:val="21"/>
          <w:highlight w:val="none"/>
          <w:lang w:val="en-US" w:eastAsia="zh-CN"/>
        </w:rPr>
        <w:t>内容及时间</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半年度整体报告：每半年披露从事理财业务活动的有关信息。</w:t>
      </w:r>
    </w:p>
    <w:p>
      <w:pPr>
        <w:keepNext w:val="0"/>
        <w:keepLines w:val="0"/>
        <w:pageBreakBefore w:val="0"/>
        <w:widowControl w:val="0"/>
        <w:numPr>
          <w:ilvl w:val="0"/>
          <w:numId w:val="23"/>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楷体"/>
          <w:color w:val="auto"/>
          <w:sz w:val="21"/>
          <w:szCs w:val="21"/>
          <w:highlight w:val="none"/>
          <w:lang w:val="en-US" w:eastAsia="zh-CN"/>
        </w:rPr>
        <w:t>单位</w:t>
      </w:r>
      <w:r>
        <w:rPr>
          <w:rFonts w:hint="eastAsia" w:ascii="楷体" w:hAnsi="楷体" w:eastAsia="楷体" w:cs="楷体"/>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6"/>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其他</w:t>
      </w:r>
    </w:p>
    <w:p>
      <w:pPr>
        <w:keepNext w:val="0"/>
        <w:keepLines w:val="0"/>
        <w:pageBreakBefore w:val="0"/>
        <w:widowControl w:val="0"/>
        <w:numPr>
          <w:ilvl w:val="0"/>
          <w:numId w:val="24"/>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追索条款</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keepNext w:val="0"/>
        <w:keepLines w:val="0"/>
        <w:pageBreakBefore w:val="0"/>
        <w:widowControl w:val="0"/>
        <w:numPr>
          <w:ilvl w:val="0"/>
          <w:numId w:val="24"/>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信息安全</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苏银理财及</w:t>
      </w:r>
      <w:r>
        <w:rPr>
          <w:rFonts w:hint="eastAsia" w:ascii="楷体" w:hAnsi="楷体" w:eastAsia="楷体"/>
          <w:b w:val="0"/>
          <w:bCs w:val="0"/>
          <w:color w:val="auto"/>
          <w:sz w:val="21"/>
          <w:szCs w:val="21"/>
          <w:highlight w:val="none"/>
          <w:lang w:val="en-US" w:eastAsia="zh-CN"/>
        </w:rPr>
        <w:t>销售</w:t>
      </w:r>
      <w:r>
        <w:rPr>
          <w:rFonts w:hint="eastAsia" w:ascii="楷体" w:hAnsi="楷体" w:eastAsia="楷体"/>
          <w:b w:val="0"/>
          <w:bCs w:val="0"/>
          <w:color w:val="auto"/>
          <w:sz w:val="21"/>
          <w:szCs w:val="21"/>
          <w:highlight w:val="none"/>
        </w:rPr>
        <w:t>机构将据相关法律、法规严格履行投资者信息保密责任，除监管机构或司法机关等有权机构外，不得对其他第三方提供任何投资者信息。</w:t>
      </w:r>
    </w:p>
    <w:p>
      <w:pPr>
        <w:keepNext w:val="0"/>
        <w:keepLines w:val="0"/>
        <w:pageBreakBefore w:val="0"/>
        <w:widowControl w:val="0"/>
        <w:numPr>
          <w:ilvl w:val="0"/>
          <w:numId w:val="24"/>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争议解决</w:t>
      </w:r>
    </w:p>
    <w:p>
      <w:pPr>
        <w:keepNext w:val="0"/>
        <w:keepLines w:val="0"/>
        <w:pageBreakBefore w:val="0"/>
        <w:wordWrap/>
        <w:topLinePunct w:val="0"/>
        <w:autoSpaceDE/>
        <w:autoSpaceDN/>
        <w:bidi w:val="0"/>
        <w:ind w:firstLine="420" w:firstLineChars="200"/>
        <w:jc w:val="left"/>
        <w:textAlignment w:val="auto"/>
        <w:rPr>
          <w:rFonts w:ascii="楷体" w:hAnsi="楷体" w:eastAsia="楷体"/>
          <w:highlight w:val="none"/>
        </w:rPr>
      </w:pP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highlight w:val="none"/>
          <w:lang w:val="en-US" w:eastAsia="zh-CN"/>
        </w:rPr>
        <w:t>因本产品说明书</w:t>
      </w:r>
      <w:r>
        <w:rPr>
          <w:rFonts w:hint="eastAsia" w:ascii="楷体" w:hAnsi="楷体" w:eastAsia="楷体"/>
          <w:b w:val="0"/>
          <w:bCs w:val="0"/>
          <w:color w:val="auto"/>
          <w:sz w:val="21"/>
          <w:szCs w:val="21"/>
          <w:highlight w:val="none"/>
        </w:rPr>
        <w:t>引起的或与</w:t>
      </w: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有关的任何争议，应当首先通过双方之间的友好协商解决；协商不成的，双方均有权提交产品管理人住所地有管辖权的人民法院诉讼解决。</w:t>
      </w:r>
    </w:p>
    <w:p>
      <w:pPr>
        <w:keepNext w:val="0"/>
        <w:keepLines w:val="0"/>
        <w:pageBreakBefore w:val="0"/>
        <w:wordWrap/>
        <w:topLinePunct w:val="0"/>
        <w:autoSpaceDE/>
        <w:autoSpaceDN/>
        <w:bidi w:val="0"/>
        <w:adjustRightInd w:val="0"/>
        <w:textAlignment w:val="auto"/>
        <w:rPr>
          <w:rFonts w:hint="eastAsia" w:ascii="楷体" w:hAnsi="楷体" w:eastAsia="楷体"/>
          <w:sz w:val="24"/>
          <w:szCs w:val="24"/>
          <w:highlight w:val="none"/>
        </w:rPr>
      </w:pPr>
    </w:p>
    <w:p>
      <w:pPr>
        <w:rPr>
          <w:rFonts w:hint="eastAsia" w:ascii="楷体" w:hAnsi="楷体" w:eastAsia="楷体"/>
          <w:b/>
          <w:sz w:val="28"/>
          <w:szCs w:val="28"/>
        </w:rPr>
      </w:pPr>
      <w:r>
        <w:rPr>
          <w:rFonts w:hint="eastAsia" w:ascii="楷体" w:hAnsi="楷体" w:eastAsia="楷体"/>
          <w:b/>
          <w:sz w:val="28"/>
          <w:szCs w:val="28"/>
        </w:rPr>
        <w:br w:type="page"/>
      </w:r>
    </w:p>
    <w:p>
      <w:pPr>
        <w:jc w:val="center"/>
        <w:rPr>
          <w:rFonts w:hint="eastAsia" w:ascii="楷体" w:hAnsi="楷体" w:eastAsia="楷体"/>
          <w:b/>
          <w:sz w:val="36"/>
          <w:szCs w:val="36"/>
        </w:rPr>
      </w:pPr>
      <w:r>
        <w:rPr>
          <w:rFonts w:hint="eastAsia" w:ascii="楷体" w:hAnsi="楷体" w:eastAsia="楷体"/>
          <w:b/>
          <w:sz w:val="28"/>
          <w:szCs w:val="28"/>
        </w:rPr>
        <w:t>苏银理财有限责任公司理财产品投资协议书</w:t>
      </w:r>
    </w:p>
    <w:p>
      <w:pPr>
        <w:jc w:val="center"/>
        <w:rPr>
          <w:rFonts w:hint="eastAsia" w:ascii="楷体" w:hAnsi="楷体" w:eastAsia="楷体"/>
          <w:b/>
          <w:sz w:val="28"/>
          <w:szCs w:val="28"/>
        </w:rPr>
      </w:pPr>
      <w:r>
        <w:rPr>
          <w:rFonts w:hint="eastAsia" w:ascii="楷体" w:hAnsi="楷体" w:eastAsia="楷体"/>
          <w:b/>
          <w:sz w:val="24"/>
          <w:szCs w:val="24"/>
        </w:rPr>
        <w:t>理财非存款、产品有风险、投资须谨慎</w:t>
      </w:r>
    </w:p>
    <w:p>
      <w:pPr>
        <w:ind w:firstLine="420" w:firstLineChars="200"/>
        <w:rPr>
          <w:rFonts w:hint="eastAsia" w:ascii="楷体" w:hAnsi="楷体" w:eastAsia="楷体" w:cs="Times New Roman"/>
          <w:b w:val="0"/>
          <w:sz w:val="21"/>
          <w:szCs w:val="21"/>
        </w:rPr>
      </w:pPr>
      <w:r>
        <w:rPr>
          <w:rFonts w:hint="eastAsia" w:ascii="楷体" w:hAnsi="楷体" w:eastAsia="楷体" w:cs="Times New Roman"/>
          <w:sz w:val="21"/>
          <w:szCs w:val="21"/>
        </w:rPr>
        <w:t>经甲方（</w:t>
      </w:r>
      <w:r>
        <w:rPr>
          <w:rFonts w:hint="eastAsia" w:ascii="楷体" w:hAnsi="楷体" w:eastAsia="楷体" w:cs="Times New Roman"/>
          <w:sz w:val="21"/>
          <w:szCs w:val="21"/>
          <w:lang w:val="en-US" w:eastAsia="zh-CN"/>
        </w:rPr>
        <w:t>投资者</w:t>
      </w:r>
      <w:r>
        <w:rPr>
          <w:rFonts w:hint="eastAsia" w:ascii="楷体" w:hAnsi="楷体" w:eastAsia="楷体" w:cs="Times New Roman"/>
          <w:sz w:val="21"/>
          <w:szCs w:val="21"/>
        </w:rPr>
        <w:t>）与乙方（</w:t>
      </w:r>
      <w:r>
        <w:rPr>
          <w:rFonts w:hint="eastAsia" w:ascii="楷体" w:hAnsi="楷体" w:eastAsia="楷体" w:cs="Times New Roman"/>
          <w:sz w:val="21"/>
          <w:szCs w:val="21"/>
          <w:lang w:val="en-US" w:eastAsia="zh-CN"/>
        </w:rPr>
        <w:t>苏银</w:t>
      </w:r>
      <w:r>
        <w:rPr>
          <w:rFonts w:hint="eastAsia" w:ascii="楷体" w:hAnsi="楷体" w:eastAsia="楷体" w:cs="Times New Roman"/>
          <w:sz w:val="21"/>
          <w:szCs w:val="21"/>
        </w:rPr>
        <w:t>理财有限责任公司</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以下简称“苏银理财”</w:t>
      </w:r>
      <w:r>
        <w:rPr>
          <w:rFonts w:hint="eastAsia" w:ascii="楷体" w:hAnsi="楷体" w:eastAsia="楷体" w:cs="Times New Roman"/>
          <w:sz w:val="21"/>
          <w:szCs w:val="21"/>
        </w:rPr>
        <w:t>）协商一致，就甲方向乙方购买理财产品，达成协议如下：</w:t>
      </w:r>
    </w:p>
    <w:p>
      <w:pPr>
        <w:ind w:firstLine="422" w:firstLineChars="200"/>
        <w:rPr>
          <w:rFonts w:hint="eastAsia" w:ascii="楷体" w:hAnsi="楷体" w:eastAsia="楷体"/>
          <w:b/>
          <w:sz w:val="21"/>
          <w:szCs w:val="21"/>
        </w:rPr>
      </w:pPr>
      <w:r>
        <w:rPr>
          <w:rFonts w:hint="eastAsia" w:ascii="楷体" w:hAnsi="楷体" w:eastAsia="楷体"/>
          <w:b/>
          <w:sz w:val="21"/>
          <w:szCs w:val="21"/>
        </w:rPr>
        <w:t>一、重要声明</w:t>
      </w:r>
    </w:p>
    <w:p>
      <w:pPr>
        <w:ind w:firstLine="420" w:firstLineChars="200"/>
        <w:rPr>
          <w:rFonts w:hint="eastAsia" w:ascii="楷体" w:hAnsi="楷体" w:eastAsia="楷体"/>
          <w:b/>
          <w:sz w:val="21"/>
          <w:szCs w:val="21"/>
          <w:u w:val="single"/>
        </w:rPr>
      </w:pPr>
      <w:r>
        <w:rPr>
          <w:rFonts w:hint="eastAsia" w:ascii="楷体" w:hAnsi="楷体" w:eastAsia="楷体"/>
          <w:sz w:val="21"/>
          <w:szCs w:val="21"/>
        </w:rPr>
        <w:t>本投资协议书与</w:t>
      </w:r>
      <w:r>
        <w:rPr>
          <w:rFonts w:hint="eastAsia" w:ascii="楷体" w:hAnsi="楷体" w:eastAsia="楷体"/>
          <w:sz w:val="21"/>
          <w:szCs w:val="21"/>
          <w:lang w:val="en-US" w:eastAsia="zh-CN"/>
        </w:rPr>
        <w:t>理财产品（</w:t>
      </w:r>
      <w:r>
        <w:rPr>
          <w:rFonts w:hint="eastAsia" w:ascii="楷体" w:hAnsi="楷体" w:eastAsia="楷体"/>
          <w:sz w:val="21"/>
          <w:szCs w:val="21"/>
        </w:rPr>
        <w:t>代理</w:t>
      </w:r>
      <w:r>
        <w:rPr>
          <w:rFonts w:hint="eastAsia" w:ascii="楷体" w:hAnsi="楷体" w:eastAsia="楷体"/>
          <w:sz w:val="21"/>
          <w:szCs w:val="21"/>
          <w:lang w:eastAsia="zh-CN"/>
        </w:rPr>
        <w:t>）</w:t>
      </w:r>
      <w:r>
        <w:rPr>
          <w:rFonts w:hint="eastAsia" w:ascii="楷体" w:hAnsi="楷体" w:eastAsia="楷体"/>
          <w:sz w:val="21"/>
          <w:szCs w:val="21"/>
        </w:rPr>
        <w:t>销售协议书、理财产品说明书、风险揭示书、投资者权益须知等销售文件构成完整的不可分割的理财产品合同。</w:t>
      </w:r>
      <w:r>
        <w:rPr>
          <w:rFonts w:hint="eastAsia" w:ascii="楷体" w:hAnsi="楷体" w:eastAsia="楷体"/>
          <w:sz w:val="21"/>
          <w:szCs w:val="21"/>
          <w:lang w:val="en-US" w:eastAsia="zh-CN"/>
        </w:rPr>
        <w:t>乙方</w:t>
      </w:r>
      <w:r>
        <w:rPr>
          <w:rFonts w:hint="eastAsia" w:ascii="楷体" w:hAnsi="楷体" w:eastAsia="楷体"/>
          <w:sz w:val="21"/>
          <w:szCs w:val="21"/>
        </w:rPr>
        <w:t>作为理财产品管理人建议投资者在购买对应期次理财产品（以下简称“本理财产品”）前认真阅读相关理财产品合同或咨询专业理财经理。</w:t>
      </w:r>
      <w:r>
        <w:rPr>
          <w:rFonts w:hint="eastAsia" w:ascii="楷体" w:hAnsi="楷体" w:eastAsia="楷体"/>
          <w:sz w:val="21"/>
          <w:szCs w:val="21"/>
          <w:lang w:val="en-US" w:eastAsia="zh-CN"/>
        </w:rPr>
        <w:t>甲方</w:t>
      </w:r>
      <w:r>
        <w:rPr>
          <w:rFonts w:hint="eastAsia" w:ascii="楷体" w:hAnsi="楷体" w:eastAsia="楷体"/>
          <w:sz w:val="21"/>
          <w:szCs w:val="21"/>
        </w:rPr>
        <w:t>签署本投资协议（含电子渠道确认）则被视为已详细阅读过本投资协议及完整理财产品合同，并充分理解合同条款和潜在风险，自愿购买本理财产品，并遵守理财产品合同中的各项规定。</w:t>
      </w:r>
      <w:r>
        <w:rPr>
          <w:rFonts w:hint="eastAsia" w:ascii="楷体" w:hAnsi="楷体" w:eastAsia="楷体"/>
          <w:b/>
          <w:sz w:val="21"/>
          <w:szCs w:val="21"/>
          <w:u w:val="single"/>
        </w:rPr>
        <w:t>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hint="eastAsia" w:ascii="楷体" w:hAnsi="楷体" w:eastAsia="楷体"/>
          <w:b/>
          <w:sz w:val="21"/>
          <w:szCs w:val="21"/>
          <w:u w:val="single"/>
          <w:lang w:val="en-US" w:eastAsia="zh-CN"/>
        </w:rPr>
        <w:t>关联交易风险、</w:t>
      </w:r>
      <w:r>
        <w:rPr>
          <w:rFonts w:hint="eastAsia" w:ascii="楷体" w:hAnsi="楷体" w:eastAsia="楷体"/>
          <w:b/>
          <w:sz w:val="21"/>
          <w:szCs w:val="21"/>
          <w:u w:val="single"/>
        </w:rPr>
        <w:t>标的资产的特别投资风险及其他风险，具体风险因素由</w:t>
      </w:r>
      <w:r>
        <w:rPr>
          <w:rFonts w:hint="eastAsia" w:ascii="楷体" w:hAnsi="楷体" w:eastAsia="楷体"/>
          <w:b/>
          <w:sz w:val="21"/>
          <w:szCs w:val="21"/>
          <w:u w:val="single"/>
          <w:lang w:val="en-US" w:eastAsia="zh-CN"/>
        </w:rPr>
        <w:t>乙方</w:t>
      </w:r>
      <w:r>
        <w:rPr>
          <w:rFonts w:hint="eastAsia" w:ascii="楷体" w:hAnsi="楷体" w:eastAsia="楷体"/>
          <w:b/>
          <w:sz w:val="21"/>
          <w:szCs w:val="21"/>
          <w:u w:val="single"/>
        </w:rPr>
        <w:t>在理财产品风险揭示书中揭示。请您</w:t>
      </w:r>
      <w:r>
        <w:rPr>
          <w:rFonts w:hint="eastAsia" w:ascii="楷体" w:hAnsi="楷体" w:eastAsia="楷体"/>
          <w:b/>
          <w:sz w:val="21"/>
          <w:szCs w:val="21"/>
          <w:u w:val="single"/>
          <w:lang w:val="en-US" w:eastAsia="zh-CN"/>
        </w:rPr>
        <w:t>仔细阅读并</w:t>
      </w:r>
      <w:r>
        <w:rPr>
          <w:rFonts w:hint="eastAsia" w:ascii="楷体" w:hAnsi="楷体" w:eastAsia="楷体"/>
          <w:b/>
          <w:sz w:val="21"/>
          <w:szCs w:val="21"/>
          <w:u w:val="single"/>
        </w:rPr>
        <w:t>充分认识投资风险，谨慎投资。</w:t>
      </w:r>
    </w:p>
    <w:p>
      <w:pPr>
        <w:ind w:firstLine="422" w:firstLineChars="200"/>
        <w:rPr>
          <w:rFonts w:hint="eastAsia" w:ascii="楷体" w:hAnsi="楷体" w:eastAsia="楷体"/>
          <w:b/>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甲方</w:t>
      </w:r>
      <w:r>
        <w:rPr>
          <w:rFonts w:hint="eastAsia" w:ascii="楷体" w:hAnsi="楷体" w:eastAsia="楷体"/>
          <w:b/>
          <w:sz w:val="21"/>
          <w:szCs w:val="21"/>
        </w:rPr>
        <w:t>的权利义务</w:t>
      </w:r>
    </w:p>
    <w:p>
      <w:pPr>
        <w:numPr>
          <w:ilvl w:val="0"/>
          <w:numId w:val="0"/>
        </w:numPr>
        <w:ind w:left="0" w:firstLine="422" w:firstLineChars="200"/>
        <w:rPr>
          <w:rFonts w:hint="eastAsia" w:ascii="楷体" w:hAnsi="楷体" w:eastAsia="楷体" w:cs="Times New Roman"/>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甲方</w:t>
      </w:r>
      <w:r>
        <w:rPr>
          <w:rFonts w:hint="eastAsia" w:ascii="楷体" w:hAnsi="楷体" w:eastAsia="楷体"/>
          <w:b/>
          <w:sz w:val="21"/>
          <w:szCs w:val="21"/>
        </w:rPr>
        <w:t>的权利：</w:t>
      </w:r>
      <w:r>
        <w:rPr>
          <w:rFonts w:hint="eastAsia" w:ascii="楷体" w:hAnsi="楷体" w:eastAsia="楷体" w:cs="Times New Roman"/>
          <w:sz w:val="21"/>
          <w:szCs w:val="21"/>
        </w:rPr>
        <w:t>按理财产品合同的约定取得理财收益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cs="Times New Roman"/>
          <w:sz w:val="21"/>
          <w:szCs w:val="21"/>
        </w:rPr>
        <w:t>；按理财产品合同的约定查询获得披露的理财产品信息资料；产品终止后对清算后的理财产品资产净值按理财产品持有份额比例参与分配；要求</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或理财产品托管人及时</w:t>
      </w:r>
      <w:r>
        <w:rPr>
          <w:rFonts w:hint="eastAsia" w:ascii="楷体" w:hAnsi="楷体" w:eastAsia="楷体" w:cs="Times New Roman"/>
          <w:sz w:val="21"/>
          <w:szCs w:val="21"/>
          <w:lang w:val="en-US" w:eastAsia="zh-CN"/>
        </w:rPr>
        <w:t>履行</w:t>
      </w:r>
      <w:r>
        <w:rPr>
          <w:rFonts w:hint="eastAsia" w:ascii="楷体" w:hAnsi="楷体" w:eastAsia="楷体" w:cs="Times New Roman"/>
          <w:sz w:val="21"/>
          <w:szCs w:val="21"/>
        </w:rPr>
        <w:t>法律法规、理财产品合同所规定的义务；对</w:t>
      </w:r>
      <w:r>
        <w:rPr>
          <w:rFonts w:hint="eastAsia" w:ascii="楷体" w:hAnsi="楷体" w:eastAsia="楷体" w:cs="Times New Roman"/>
          <w:sz w:val="21"/>
          <w:szCs w:val="21"/>
          <w:lang w:val="en-US" w:eastAsia="zh-CN"/>
        </w:rPr>
        <w:t>乙方</w:t>
      </w:r>
      <w:r>
        <w:rPr>
          <w:rFonts w:hint="eastAsia" w:ascii="楷体" w:hAnsi="楷体" w:eastAsia="楷体" w:cs="Times New Roman"/>
          <w:sz w:val="21"/>
          <w:szCs w:val="21"/>
        </w:rPr>
        <w:t>、理财产品托管人损害其合法权益</w:t>
      </w:r>
      <w:r>
        <w:rPr>
          <w:rFonts w:hint="eastAsia" w:ascii="楷体" w:hAnsi="楷体" w:eastAsia="楷体" w:cs="Times New Roman"/>
          <w:sz w:val="21"/>
          <w:szCs w:val="21"/>
          <w:lang w:val="en-US" w:eastAsia="zh-CN"/>
        </w:rPr>
        <w:t>的行为</w:t>
      </w:r>
      <w:r>
        <w:rPr>
          <w:rFonts w:hint="eastAsia" w:ascii="楷体" w:hAnsi="楷体" w:eastAsia="楷体" w:cs="Times New Roman"/>
          <w:sz w:val="21"/>
          <w:szCs w:val="21"/>
        </w:rPr>
        <w:t>而要求予以赔偿；法律法规、理财产品合同规定的其它权利。</w:t>
      </w:r>
    </w:p>
    <w:p>
      <w:pPr>
        <w:numPr>
          <w:ilvl w:val="0"/>
          <w:numId w:val="25"/>
        </w:numPr>
        <w:ind w:left="0" w:firstLine="422" w:firstLineChars="200"/>
        <w:rPr>
          <w:rFonts w:hint="eastAsia" w:ascii="楷体" w:hAnsi="楷体" w:eastAsia="楷体" w:cs="Times New Roman"/>
          <w:sz w:val="21"/>
          <w:szCs w:val="21"/>
        </w:rPr>
      </w:pPr>
      <w:r>
        <w:rPr>
          <w:rFonts w:hint="eastAsia" w:ascii="楷体" w:hAnsi="楷体" w:eastAsia="楷体"/>
          <w:b/>
          <w:sz w:val="21"/>
          <w:szCs w:val="21"/>
          <w:lang w:val="en-US" w:eastAsia="zh-CN"/>
        </w:rPr>
        <w:t>甲方</w:t>
      </w:r>
      <w:r>
        <w:rPr>
          <w:rFonts w:hint="eastAsia" w:ascii="楷体" w:hAnsi="楷体" w:eastAsia="楷体"/>
          <w:b/>
          <w:sz w:val="21"/>
          <w:szCs w:val="21"/>
        </w:rPr>
        <w:t>的义务：</w:t>
      </w:r>
      <w:r>
        <w:rPr>
          <w:rFonts w:hint="eastAsia" w:ascii="楷体" w:hAnsi="楷体" w:eastAsia="楷体" w:cs="Times New Roman"/>
          <w:sz w:val="21"/>
          <w:szCs w:val="21"/>
        </w:rPr>
        <w:t>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hint="eastAsia" w:ascii="楷体" w:hAnsi="楷体" w:eastAsia="楷体" w:cs="Times New Roman"/>
          <w:sz w:val="21"/>
          <w:szCs w:val="21"/>
          <w:lang w:val="en-US" w:eastAsia="zh-CN"/>
        </w:rPr>
        <w:t>以及</w:t>
      </w:r>
      <w:r>
        <w:rPr>
          <w:rFonts w:hint="eastAsia" w:ascii="楷体" w:hAnsi="楷体" w:eastAsia="楷体" w:cs="Times New Roman"/>
          <w:sz w:val="21"/>
          <w:szCs w:val="21"/>
        </w:rPr>
        <w:t>理财产品合同所规定的其它义务。</w:t>
      </w:r>
    </w:p>
    <w:p>
      <w:pPr>
        <w:ind w:firstLine="422" w:firstLineChars="200"/>
        <w:rPr>
          <w:rFonts w:hint="eastAsia" w:ascii="楷体" w:hAnsi="楷体" w:eastAsia="楷体"/>
          <w:b/>
          <w:sz w:val="21"/>
          <w:szCs w:val="21"/>
        </w:rPr>
      </w:pPr>
      <w:r>
        <w:rPr>
          <w:rFonts w:hint="eastAsia" w:ascii="楷体" w:hAnsi="楷体" w:eastAsia="楷体"/>
          <w:b/>
          <w:sz w:val="21"/>
          <w:szCs w:val="21"/>
        </w:rPr>
        <w:t>三、</w:t>
      </w:r>
      <w:r>
        <w:rPr>
          <w:rFonts w:hint="eastAsia" w:ascii="楷体" w:hAnsi="楷体" w:eastAsia="楷体"/>
          <w:b/>
          <w:sz w:val="21"/>
          <w:szCs w:val="21"/>
          <w:lang w:val="en-US" w:eastAsia="zh-CN"/>
        </w:rPr>
        <w:t>乙方</w:t>
      </w:r>
      <w:r>
        <w:rPr>
          <w:rFonts w:hint="eastAsia" w:ascii="楷体" w:hAnsi="楷体" w:eastAsia="楷体"/>
          <w:b/>
          <w:sz w:val="21"/>
          <w:szCs w:val="21"/>
        </w:rPr>
        <w:t>的权利义务</w:t>
      </w:r>
    </w:p>
    <w:p>
      <w:pPr>
        <w:ind w:firstLine="422" w:firstLineChars="200"/>
        <w:rPr>
          <w:rFonts w:hint="eastAsia" w:ascii="楷体" w:hAnsi="楷体" w:eastAsia="楷体"/>
          <w:sz w:val="21"/>
          <w:szCs w:val="21"/>
        </w:rPr>
      </w:pPr>
      <w:r>
        <w:rPr>
          <w:rFonts w:hint="eastAsia" w:ascii="楷体" w:hAnsi="楷体" w:eastAsia="楷体"/>
          <w:b/>
          <w:sz w:val="21"/>
          <w:szCs w:val="21"/>
        </w:rPr>
        <w:t>（一）</w:t>
      </w:r>
      <w:r>
        <w:rPr>
          <w:rFonts w:hint="eastAsia" w:ascii="楷体" w:hAnsi="楷体" w:eastAsia="楷体"/>
          <w:b/>
          <w:sz w:val="21"/>
          <w:szCs w:val="21"/>
          <w:lang w:val="en-US" w:eastAsia="zh-CN"/>
        </w:rPr>
        <w:t>乙方</w:t>
      </w:r>
      <w:r>
        <w:rPr>
          <w:rFonts w:hint="eastAsia" w:ascii="楷体" w:hAnsi="楷体" w:eastAsia="楷体"/>
          <w:b/>
          <w:sz w:val="21"/>
          <w:szCs w:val="21"/>
        </w:rPr>
        <w:t>的权利：</w:t>
      </w:r>
      <w:r>
        <w:rPr>
          <w:rFonts w:hint="eastAsia" w:ascii="楷体" w:hAnsi="楷体" w:eastAsia="楷体"/>
          <w:sz w:val="21"/>
          <w:szCs w:val="21"/>
        </w:rPr>
        <w:t>乙方按照法律法规和理财产品</w:t>
      </w:r>
      <w:r>
        <w:rPr>
          <w:rFonts w:hint="eastAsia" w:ascii="楷体" w:hAnsi="楷体" w:eastAsia="楷体"/>
          <w:sz w:val="21"/>
          <w:szCs w:val="21"/>
          <w:lang w:val="en-US" w:eastAsia="zh-CN"/>
        </w:rPr>
        <w:t>合同</w:t>
      </w:r>
      <w:r>
        <w:rPr>
          <w:rFonts w:hint="eastAsia" w:ascii="楷体" w:hAnsi="楷体" w:eastAsia="楷体"/>
          <w:sz w:val="21"/>
          <w:szCs w:val="21"/>
        </w:rPr>
        <w:t>的约定，诚实信用、谨慎勤勉地实施投资管理行为，以专业技能管理理财产品资产，依法维护理财产品全体投资者的利益；</w:t>
      </w:r>
    </w:p>
    <w:p>
      <w:pPr>
        <w:numPr>
          <w:ilvl w:val="0"/>
          <w:numId w:val="0"/>
        </w:numPr>
        <w:ind w:left="0" w:firstLine="0"/>
        <w:rPr>
          <w:rFonts w:hint="eastAsia" w:ascii="楷体" w:hAnsi="楷体" w:eastAsia="楷体"/>
          <w:sz w:val="21"/>
          <w:szCs w:val="21"/>
        </w:rPr>
      </w:pPr>
      <w:r>
        <w:rPr>
          <w:rFonts w:hint="eastAsia" w:ascii="楷体" w:hAnsi="楷体" w:eastAsia="楷体"/>
          <w:sz w:val="21"/>
          <w:szCs w:val="21"/>
        </w:rPr>
        <w:t>为理财产品的利益依法为理财产品进行融资；按照法律法规，代表理财产品对被投资企业行使行使权利（如被投资企业股东权利等）；以</w:t>
      </w:r>
      <w:r>
        <w:rPr>
          <w:rFonts w:hint="eastAsia" w:ascii="楷体" w:hAnsi="楷体" w:eastAsia="楷体"/>
          <w:sz w:val="21"/>
          <w:szCs w:val="21"/>
          <w:lang w:val="en-US" w:eastAsia="zh-CN"/>
        </w:rPr>
        <w:t>乙方</w:t>
      </w:r>
      <w:r>
        <w:rPr>
          <w:rFonts w:hint="eastAsia" w:ascii="楷体" w:hAnsi="楷体" w:eastAsia="楷体"/>
          <w:sz w:val="21"/>
          <w:szCs w:val="21"/>
        </w:rPr>
        <w:t>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kinsoku/>
        <w:wordWrap/>
        <w:overflowPunct/>
        <w:topLinePunct w:val="0"/>
        <w:autoSpaceDE/>
        <w:autoSpaceDN/>
        <w:bidi w:val="0"/>
        <w:adjustRightInd/>
        <w:snapToGrid/>
        <w:ind w:left="0" w:firstLine="422" w:firstLineChars="200"/>
        <w:jc w:val="left"/>
        <w:textAlignment w:val="auto"/>
        <w:rPr>
          <w:rFonts w:ascii="楷体" w:hAnsi="楷体" w:eastAsia="楷体"/>
          <w:sz w:val="21"/>
          <w:szCs w:val="21"/>
        </w:rPr>
      </w:pPr>
      <w:r>
        <w:rPr>
          <w:rFonts w:hint="eastAsia" w:ascii="楷体" w:hAnsi="楷体" w:eastAsia="楷体"/>
          <w:b/>
          <w:sz w:val="21"/>
          <w:szCs w:val="21"/>
        </w:rPr>
        <w:t>（二）</w:t>
      </w:r>
      <w:r>
        <w:rPr>
          <w:rFonts w:hint="eastAsia" w:ascii="楷体" w:hAnsi="楷体" w:eastAsia="楷体"/>
          <w:b/>
          <w:sz w:val="21"/>
          <w:szCs w:val="21"/>
          <w:lang w:val="en-US" w:eastAsia="zh-CN"/>
        </w:rPr>
        <w:t>乙方</w:t>
      </w:r>
      <w:r>
        <w:rPr>
          <w:rFonts w:hint="eastAsia" w:ascii="楷体" w:hAnsi="楷体" w:eastAsia="楷体"/>
          <w:b/>
          <w:sz w:val="21"/>
          <w:szCs w:val="21"/>
        </w:rPr>
        <w:t>的义务：</w:t>
      </w:r>
      <w:r>
        <w:rPr>
          <w:rFonts w:hint="eastAsia" w:ascii="楷体" w:hAnsi="楷体" w:eastAsia="楷体"/>
          <w:sz w:val="21"/>
          <w:szCs w:val="21"/>
        </w:rPr>
        <w:t>遵守法律法规和理财产品合同的约定；</w:t>
      </w:r>
      <w:r>
        <w:rPr>
          <w:rFonts w:hint="eastAsia" w:ascii="楷体" w:hAnsi="楷体" w:eastAsia="楷体" w:cs="Times New Roman"/>
          <w:sz w:val="21"/>
          <w:szCs w:val="21"/>
        </w:rPr>
        <w:t>恪尽职守，依照诚实信用、勤勉尽责的原则，谨慎、有效管理和运用理</w:t>
      </w:r>
      <w:r>
        <w:rPr>
          <w:rFonts w:hint="eastAsia" w:ascii="楷体" w:hAnsi="楷体" w:eastAsia="楷体" w:cs="Times New Roman"/>
          <w:sz w:val="21"/>
          <w:szCs w:val="21"/>
          <w:lang w:val="en-US" w:eastAsia="zh-CN"/>
        </w:rPr>
        <w:t>财</w:t>
      </w:r>
      <w:r>
        <w:rPr>
          <w:rFonts w:hint="eastAsia" w:ascii="楷体" w:hAnsi="楷体" w:eastAsia="楷体" w:cs="Times New Roman"/>
          <w:sz w:val="21"/>
          <w:szCs w:val="21"/>
        </w:rPr>
        <w:t>资产；</w:t>
      </w:r>
      <w:r>
        <w:rPr>
          <w:rFonts w:hint="eastAsia" w:ascii="楷体" w:hAnsi="楷体" w:eastAsia="楷体"/>
          <w:sz w:val="21"/>
          <w:szCs w:val="21"/>
        </w:rPr>
        <w:t>设置相应的部门并配备足够的具有专业资格的人员进行理财投资分析、决策，以专业化的经营方式管理和运作理财资产，防范和减少风险；建立健全内部控制制度，保证</w:t>
      </w:r>
      <w:r>
        <w:rPr>
          <w:rFonts w:hint="eastAsia" w:ascii="楷体" w:hAnsi="楷体" w:eastAsia="楷体"/>
          <w:sz w:val="21"/>
          <w:szCs w:val="21"/>
          <w:lang w:val="en-US" w:eastAsia="zh-CN"/>
        </w:rPr>
        <w:t>乙方</w:t>
      </w:r>
      <w:r>
        <w:rPr>
          <w:rFonts w:hint="eastAsia" w:ascii="楷体" w:hAnsi="楷体" w:eastAsia="楷体"/>
          <w:sz w:val="21"/>
          <w:szCs w:val="21"/>
        </w:rPr>
        <w:t>的固有财产和理财财产相互独立，对所管理的不同理财财产分别管理、分别记账，进行投资；除依据法律法规和理财产品合同的约定外，不得利用理财资产为</w:t>
      </w:r>
      <w:r>
        <w:rPr>
          <w:rFonts w:hint="eastAsia" w:ascii="楷体" w:hAnsi="楷体" w:eastAsia="楷体"/>
          <w:sz w:val="21"/>
          <w:szCs w:val="21"/>
          <w:lang w:val="en-US" w:eastAsia="zh-CN"/>
        </w:rPr>
        <w:t>乙方</w:t>
      </w:r>
      <w:r>
        <w:rPr>
          <w:rFonts w:hint="eastAsia" w:ascii="楷体" w:hAnsi="楷体" w:eastAsia="楷体"/>
          <w:sz w:val="21"/>
          <w:szCs w:val="21"/>
        </w:rPr>
        <w:t>自身及任何第三方谋取利益；接受理财产品托管人对理财产品投资运作的监督；严格按照法律法规和理财产品合同的约定履行信息披露及报告义务；依据理财产品合同</w:t>
      </w:r>
      <w:r>
        <w:rPr>
          <w:rFonts w:hint="eastAsia" w:ascii="楷体" w:hAnsi="楷体" w:eastAsia="楷体" w:cs="Times New Roman"/>
          <w:sz w:val="21"/>
          <w:szCs w:val="21"/>
          <w:lang w:val="en-US" w:eastAsia="zh-CN"/>
        </w:rPr>
        <w:t>约定</w:t>
      </w:r>
      <w:r>
        <w:rPr>
          <w:rFonts w:hint="eastAsia" w:ascii="楷体" w:hAnsi="楷体" w:eastAsia="楷体"/>
          <w:sz w:val="21"/>
          <w:szCs w:val="21"/>
        </w:rPr>
        <w:t>制订理财收益分配方案并向本理财产品的理财份额持有人分配理财收益</w:t>
      </w:r>
      <w:r>
        <w:rPr>
          <w:rFonts w:hint="eastAsia" w:ascii="楷体" w:hAnsi="楷体" w:eastAsia="楷体" w:cs="Times New Roman"/>
          <w:sz w:val="21"/>
          <w:szCs w:val="21"/>
          <w:lang w:eastAsia="zh-CN"/>
        </w:rPr>
        <w:t>（</w:t>
      </w:r>
      <w:r>
        <w:rPr>
          <w:rFonts w:hint="eastAsia" w:ascii="楷体" w:hAnsi="楷体" w:eastAsia="楷体" w:cs="Times New Roman"/>
          <w:sz w:val="21"/>
          <w:szCs w:val="21"/>
          <w:lang w:val="en-US" w:eastAsia="zh-CN"/>
        </w:rPr>
        <w:t>如有</w:t>
      </w:r>
      <w:r>
        <w:rPr>
          <w:rFonts w:hint="eastAsia" w:ascii="楷体" w:hAnsi="楷体" w:eastAsia="楷体" w:cs="Times New Roman"/>
          <w:sz w:val="21"/>
          <w:szCs w:val="21"/>
          <w:lang w:eastAsia="zh-CN"/>
        </w:rPr>
        <w:t>）</w:t>
      </w:r>
      <w:r>
        <w:rPr>
          <w:rFonts w:hint="eastAsia" w:ascii="楷体" w:hAnsi="楷体" w:eastAsia="楷体"/>
          <w:sz w:val="21"/>
          <w:szCs w:val="21"/>
        </w:rPr>
        <w:t>；不从事任何有损本理财产品</w:t>
      </w:r>
      <w:r>
        <w:rPr>
          <w:rFonts w:hint="eastAsia" w:ascii="楷体" w:hAnsi="楷体" w:eastAsia="楷体"/>
          <w:sz w:val="21"/>
          <w:szCs w:val="21"/>
          <w:lang w:val="en-US" w:eastAsia="zh-CN"/>
        </w:rPr>
        <w:t>其他</w:t>
      </w:r>
      <w:r>
        <w:rPr>
          <w:rFonts w:hint="eastAsia" w:ascii="楷体" w:hAnsi="楷体" w:eastAsia="楷体"/>
          <w:sz w:val="21"/>
          <w:szCs w:val="21"/>
        </w:rPr>
        <w:t>当事人合法权益的活动。法律法规、理财产品合同规定的其它权利。</w:t>
      </w:r>
    </w:p>
    <w:p>
      <w:pPr>
        <w:ind w:firstLine="422" w:firstLineChars="200"/>
        <w:rPr>
          <w:rFonts w:ascii="楷体" w:hAnsi="楷体" w:eastAsia="楷体"/>
          <w:b/>
          <w:sz w:val="21"/>
          <w:szCs w:val="21"/>
        </w:rPr>
      </w:pPr>
      <w:r>
        <w:rPr>
          <w:rFonts w:hint="eastAsia" w:ascii="楷体" w:hAnsi="楷体" w:eastAsia="楷体"/>
          <w:b/>
          <w:sz w:val="21"/>
          <w:szCs w:val="21"/>
          <w:lang w:val="en-US" w:eastAsia="zh-CN"/>
        </w:rPr>
        <w:t>四</w:t>
      </w:r>
      <w:r>
        <w:rPr>
          <w:rFonts w:hint="eastAsia" w:ascii="楷体" w:hAnsi="楷体" w:eastAsia="楷体"/>
          <w:b/>
          <w:sz w:val="21"/>
          <w:szCs w:val="21"/>
        </w:rPr>
        <w:t>、</w:t>
      </w:r>
      <w:r>
        <w:rPr>
          <w:rFonts w:ascii="楷体" w:hAnsi="楷体" w:eastAsia="楷体"/>
          <w:b/>
          <w:sz w:val="21"/>
          <w:szCs w:val="21"/>
        </w:rPr>
        <w:t>违约责任</w:t>
      </w:r>
    </w:p>
    <w:p>
      <w:pPr>
        <w:ind w:firstLine="420" w:firstLineChars="20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由于本协议一方当事人的过错，造成本协议不能履行或不能完全履行的，由有过错的一方承担违约责任；如双方同时负有过错，则应由双方各自按照过错程度承担责任。</w:t>
      </w:r>
    </w:p>
    <w:p>
      <w:pPr>
        <w:ind w:firstLine="422" w:firstLineChars="200"/>
        <w:rPr>
          <w:rFonts w:hint="eastAsia" w:ascii="楷体" w:hAnsi="楷体" w:eastAsia="楷体"/>
          <w:sz w:val="21"/>
          <w:szCs w:val="21"/>
        </w:rPr>
      </w:pPr>
      <w:r>
        <w:rPr>
          <w:rFonts w:hint="eastAsia" w:ascii="楷体" w:hAnsi="楷体" w:eastAsia="楷体"/>
          <w:b/>
          <w:sz w:val="21"/>
          <w:szCs w:val="21"/>
          <w:lang w:val="en-US" w:eastAsia="zh-CN"/>
        </w:rPr>
        <w:t>2.</w:t>
      </w:r>
      <w:r>
        <w:rPr>
          <w:rFonts w:hint="eastAsia" w:ascii="楷体" w:hAnsi="楷体" w:eastAsia="楷体"/>
          <w:b/>
          <w:sz w:val="21"/>
          <w:szCs w:val="21"/>
        </w:rPr>
        <w:t>双方同意，发生下列情况造成损失时，按以下约定承担责任</w:t>
      </w:r>
      <w:r>
        <w:rPr>
          <w:rFonts w:hint="eastAsia" w:ascii="楷体" w:hAnsi="楷体" w:eastAsia="楷体"/>
          <w:sz w:val="21"/>
          <w:szCs w:val="21"/>
        </w:rPr>
        <w:t>：</w:t>
      </w:r>
    </w:p>
    <w:p>
      <w:pPr>
        <w:ind w:firstLine="420" w:firstLineChars="200"/>
        <w:rPr>
          <w:rFonts w:hint="eastAsia" w:ascii="楷体" w:hAnsi="楷体" w:eastAsia="楷体"/>
          <w:sz w:val="21"/>
          <w:szCs w:val="21"/>
        </w:rPr>
      </w:pPr>
      <w:r>
        <w:rPr>
          <w:rFonts w:hint="eastAsia" w:ascii="楷体" w:hAnsi="楷体" w:eastAsia="楷体"/>
          <w:sz w:val="21"/>
          <w:szCs w:val="21"/>
        </w:rPr>
        <w:t>（1）对由于国家有关法律、法规、规章、政策的变化，监管机构管理规则的修改、紧急措施的出台等原因而导致的相关风险及损失，双方当事人互不承担责任；</w:t>
      </w:r>
    </w:p>
    <w:p>
      <w:pPr>
        <w:ind w:firstLine="420" w:firstLineChars="200"/>
        <w:rPr>
          <w:rFonts w:ascii="楷体" w:hAnsi="楷体" w:eastAsia="楷体"/>
          <w:sz w:val="21"/>
          <w:szCs w:val="21"/>
        </w:rPr>
      </w:pPr>
      <w:r>
        <w:rPr>
          <w:rFonts w:hint="eastAsia" w:ascii="楷体" w:hAnsi="楷体" w:eastAsia="楷体"/>
          <w:sz w:val="21"/>
          <w:szCs w:val="21"/>
        </w:rPr>
        <w:t>（2）</w:t>
      </w:r>
      <w:r>
        <w:rPr>
          <w:rFonts w:hint="eastAsia" w:ascii="楷体" w:hAnsi="楷体" w:eastAsia="楷体"/>
          <w:b/>
          <w:sz w:val="21"/>
          <w:szCs w:val="21"/>
        </w:rPr>
        <w:t>如甲方违反本协议</w:t>
      </w:r>
      <w:r>
        <w:rPr>
          <w:rFonts w:hint="eastAsia" w:ascii="楷体" w:hAnsi="楷体" w:eastAsia="楷体"/>
          <w:b/>
          <w:sz w:val="21"/>
          <w:szCs w:val="21"/>
          <w:lang w:val="en-US" w:eastAsia="zh-CN"/>
        </w:rPr>
        <w:t>约定</w:t>
      </w:r>
      <w:r>
        <w:rPr>
          <w:rFonts w:hint="eastAsia" w:ascii="楷体" w:hAnsi="楷体" w:eastAsia="楷体"/>
          <w:b/>
          <w:sz w:val="21"/>
          <w:szCs w:val="21"/>
        </w:rPr>
        <w:t>，或本产品甲方所涉及的资金被有权机关全部或部分冻结或者扣划</w:t>
      </w:r>
      <w:r>
        <w:rPr>
          <w:rFonts w:hint="eastAsia" w:ascii="楷体" w:hAnsi="楷体" w:eastAsia="楷体" w:cs="Times New Roman"/>
          <w:b/>
          <w:sz w:val="21"/>
          <w:szCs w:val="21"/>
        </w:rPr>
        <w:t>，或乙方发现或有合理理由怀疑甲方或其资金存在洗钱、恐怖融资、逃税等嫌疑</w:t>
      </w:r>
      <w:r>
        <w:rPr>
          <w:rFonts w:hint="eastAsia" w:ascii="楷体" w:hAnsi="楷体" w:eastAsia="楷体" w:cs="Times New Roman"/>
          <w:b/>
          <w:sz w:val="21"/>
          <w:szCs w:val="21"/>
          <w:lang w:eastAsia="zh-CN"/>
        </w:rPr>
        <w:t>，</w:t>
      </w:r>
      <w:r>
        <w:rPr>
          <w:rFonts w:hint="eastAsia" w:ascii="楷体" w:hAnsi="楷体" w:eastAsia="楷体" w:cs="Times New Roman"/>
          <w:b/>
          <w:sz w:val="21"/>
          <w:szCs w:val="21"/>
        </w:rPr>
        <w:t>乙方有权</w:t>
      </w:r>
      <w:r>
        <w:rPr>
          <w:rFonts w:hint="eastAsia" w:ascii="楷体" w:hAnsi="楷体" w:eastAsia="楷体"/>
          <w:b/>
          <w:sz w:val="21"/>
          <w:szCs w:val="21"/>
        </w:rPr>
        <w:t>提前终止本合同，且乙方不承担相应责任，如因甲方的违约违法违规行为给乙方或产品其他投资者造成损失的，甲方应承担</w:t>
      </w:r>
      <w:r>
        <w:rPr>
          <w:rFonts w:hint="eastAsia" w:ascii="楷体" w:hAnsi="楷体" w:eastAsia="楷体"/>
          <w:b/>
          <w:sz w:val="21"/>
          <w:szCs w:val="21"/>
          <w:lang w:val="en-US" w:eastAsia="zh-CN"/>
        </w:rPr>
        <w:t>相应法律责任及违约责任</w:t>
      </w:r>
      <w:r>
        <w:rPr>
          <w:rFonts w:hint="eastAsia" w:ascii="楷体" w:hAnsi="楷体" w:eastAsia="楷体"/>
          <w:b/>
          <w:sz w:val="21"/>
          <w:szCs w:val="21"/>
        </w:rPr>
        <w:t>。</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五</w:t>
      </w:r>
      <w:r>
        <w:rPr>
          <w:rFonts w:hint="eastAsia" w:ascii="楷体" w:hAnsi="楷体" w:eastAsia="楷体"/>
          <w:b/>
          <w:sz w:val="21"/>
          <w:szCs w:val="21"/>
        </w:rPr>
        <w:t>、免责条款</w:t>
      </w:r>
    </w:p>
    <w:p>
      <w:pPr>
        <w:ind w:firstLine="420"/>
        <w:rPr>
          <w:rFonts w:hint="eastAsia" w:ascii="楷体" w:hAnsi="楷体" w:eastAsia="楷体"/>
          <w:sz w:val="21"/>
          <w:szCs w:val="21"/>
        </w:rPr>
      </w:pPr>
      <w:r>
        <w:rPr>
          <w:rFonts w:hint="eastAsia" w:ascii="楷体" w:hAnsi="楷体" w:eastAsia="楷体"/>
          <w:sz w:val="21"/>
          <w:szCs w:val="21"/>
          <w:lang w:val="en-US" w:eastAsia="zh-CN"/>
        </w:rPr>
        <w:t>1.</w:t>
      </w:r>
      <w:r>
        <w:rPr>
          <w:rFonts w:hint="eastAsia" w:ascii="楷体" w:hAnsi="楷体" w:eastAsia="楷体"/>
          <w:sz w:val="21"/>
          <w:szCs w:val="21"/>
        </w:rPr>
        <w:t>由于地震、火灾、战争等不可抗力导致的交易中断、延误等风险及损失，</w:t>
      </w:r>
      <w:r>
        <w:rPr>
          <w:rFonts w:hint="eastAsia" w:ascii="楷体" w:hAnsi="楷体" w:eastAsia="楷体"/>
          <w:sz w:val="21"/>
          <w:szCs w:val="21"/>
          <w:lang w:val="en-US" w:eastAsia="zh-CN"/>
        </w:rPr>
        <w:t>乙方</w:t>
      </w:r>
      <w:r>
        <w:rPr>
          <w:rFonts w:hint="eastAsia" w:ascii="楷体" w:hAnsi="楷体" w:eastAsia="楷体"/>
          <w:sz w:val="21"/>
          <w:szCs w:val="21"/>
        </w:rPr>
        <w:t>不承担责任，但应在条件允许的情况下通知</w:t>
      </w:r>
      <w:r>
        <w:rPr>
          <w:rFonts w:hint="eastAsia" w:ascii="楷体" w:hAnsi="楷体" w:eastAsia="楷体"/>
          <w:sz w:val="21"/>
          <w:szCs w:val="21"/>
          <w:lang w:val="en-US" w:eastAsia="zh-CN"/>
        </w:rPr>
        <w:t>甲方</w:t>
      </w:r>
      <w:r>
        <w:rPr>
          <w:rFonts w:hint="eastAsia" w:ascii="楷体" w:hAnsi="楷体" w:eastAsia="楷体"/>
          <w:sz w:val="21"/>
          <w:szCs w:val="21"/>
        </w:rPr>
        <w:t>，并采取一切必要的补救措施以减小不可抗力造成的损失。</w:t>
      </w:r>
    </w:p>
    <w:p>
      <w:pPr>
        <w:ind w:firstLine="420"/>
        <w:rPr>
          <w:rFonts w:hint="eastAsia" w:ascii="楷体" w:hAnsi="楷体" w:eastAsia="楷体"/>
          <w:sz w:val="21"/>
          <w:szCs w:val="21"/>
        </w:rPr>
      </w:pPr>
      <w:r>
        <w:rPr>
          <w:rFonts w:hint="eastAsia" w:ascii="楷体" w:hAnsi="楷体" w:eastAsia="楷体"/>
          <w:sz w:val="21"/>
          <w:szCs w:val="21"/>
          <w:lang w:val="en-US" w:eastAsia="zh-CN"/>
        </w:rPr>
        <w:t>2.</w:t>
      </w:r>
      <w:r>
        <w:rPr>
          <w:rFonts w:hint="eastAsia" w:ascii="楷体" w:hAnsi="楷体" w:eastAsia="楷体"/>
          <w:sz w:val="21"/>
          <w:szCs w:val="21"/>
        </w:rPr>
        <w:t>由于国家的有关法律、法规、规章、政策的改变、紧急措施的出台而导致的风险，</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0"/>
        <w:rPr>
          <w:rFonts w:ascii="楷体" w:hAnsi="楷体" w:eastAsia="楷体"/>
          <w:sz w:val="21"/>
          <w:szCs w:val="21"/>
        </w:rPr>
      </w:pPr>
      <w:r>
        <w:rPr>
          <w:rFonts w:hint="eastAsia" w:ascii="楷体" w:hAnsi="楷体" w:eastAsia="楷体"/>
          <w:sz w:val="21"/>
          <w:szCs w:val="21"/>
          <w:lang w:val="en-US" w:eastAsia="zh-CN"/>
        </w:rPr>
        <w:t>3.乙方</w:t>
      </w:r>
      <w:r>
        <w:rPr>
          <w:rFonts w:hint="eastAsia" w:ascii="楷体" w:hAnsi="楷体" w:eastAsia="楷体"/>
          <w:sz w:val="21"/>
          <w:szCs w:val="21"/>
        </w:rPr>
        <w:t>依照恪尽职守、诚实信用、谨慎勤勉的原则管理和运用理财产品财产，</w:t>
      </w:r>
      <w:r>
        <w:rPr>
          <w:rFonts w:hint="eastAsia" w:ascii="楷体" w:hAnsi="楷体" w:eastAsia="楷体"/>
          <w:b/>
          <w:bCs/>
          <w:sz w:val="21"/>
          <w:szCs w:val="21"/>
        </w:rPr>
        <w:t>但不保证理财产品财产中的认（申）购资金本金不受损失，也不保证一定盈利及最低收益。</w:t>
      </w:r>
      <w:r>
        <w:rPr>
          <w:rFonts w:hint="eastAsia" w:ascii="楷体" w:hAnsi="楷体" w:eastAsia="楷体"/>
          <w:sz w:val="21"/>
          <w:szCs w:val="21"/>
        </w:rPr>
        <w:t>本理财产品运作过程中，</w:t>
      </w:r>
      <w:r>
        <w:rPr>
          <w:rFonts w:hint="eastAsia" w:ascii="楷体" w:hAnsi="楷体" w:eastAsia="楷体"/>
          <w:sz w:val="21"/>
          <w:szCs w:val="21"/>
          <w:lang w:val="en-US" w:eastAsia="zh-CN"/>
        </w:rPr>
        <w:t>乙方</w:t>
      </w:r>
      <w:r>
        <w:rPr>
          <w:rFonts w:hint="eastAsia" w:ascii="楷体" w:hAnsi="楷体" w:eastAsia="楷体"/>
          <w:sz w:val="21"/>
          <w:szCs w:val="21"/>
        </w:rPr>
        <w:t>依据产品合同约定管理和运用理财产品财产所产生的风险，由理财产品财产及</w:t>
      </w:r>
      <w:r>
        <w:rPr>
          <w:rFonts w:hint="eastAsia" w:ascii="楷体" w:hAnsi="楷体" w:eastAsia="楷体"/>
          <w:sz w:val="21"/>
          <w:szCs w:val="21"/>
          <w:lang w:val="en-US" w:eastAsia="zh-CN"/>
        </w:rPr>
        <w:t>甲方</w:t>
      </w:r>
      <w:r>
        <w:rPr>
          <w:rFonts w:hint="eastAsia" w:ascii="楷体" w:hAnsi="楷体" w:eastAsia="楷体"/>
          <w:sz w:val="21"/>
          <w:szCs w:val="21"/>
        </w:rPr>
        <w:t>承担。</w:t>
      </w:r>
      <w:r>
        <w:rPr>
          <w:rFonts w:hint="eastAsia" w:ascii="楷体" w:hAnsi="楷体" w:eastAsia="楷体"/>
          <w:b/>
          <w:bCs/>
          <w:sz w:val="21"/>
          <w:szCs w:val="21"/>
          <w:lang w:val="en-US" w:eastAsia="zh-CN"/>
        </w:rPr>
        <w:t>甲方</w:t>
      </w:r>
      <w:r>
        <w:rPr>
          <w:rFonts w:hint="eastAsia" w:ascii="楷体" w:hAnsi="楷体" w:eastAsia="楷体"/>
          <w:b/>
          <w:bCs/>
          <w:sz w:val="21"/>
          <w:szCs w:val="21"/>
        </w:rPr>
        <w:t>应充分知晓投资运营的相关风险，具体风险详见风险揭示书及理财产品说明书的具体约定，其风险应由</w:t>
      </w:r>
      <w:r>
        <w:rPr>
          <w:rFonts w:hint="eastAsia" w:ascii="楷体" w:hAnsi="楷体" w:eastAsia="楷体"/>
          <w:b/>
          <w:bCs/>
          <w:sz w:val="21"/>
          <w:szCs w:val="21"/>
          <w:lang w:val="en-US" w:eastAsia="zh-CN"/>
        </w:rPr>
        <w:t>甲方</w:t>
      </w:r>
      <w:r>
        <w:rPr>
          <w:rFonts w:hint="eastAsia" w:ascii="楷体" w:hAnsi="楷体" w:eastAsia="楷体"/>
          <w:b/>
          <w:bCs/>
          <w:sz w:val="21"/>
          <w:szCs w:val="21"/>
        </w:rPr>
        <w:t>自担</w:t>
      </w:r>
      <w:r>
        <w:rPr>
          <w:rFonts w:hint="eastAsia" w:ascii="楷体" w:hAnsi="楷体" w:eastAsia="楷体"/>
          <w:sz w:val="21"/>
          <w:szCs w:val="21"/>
        </w:rPr>
        <w:t>。</w:t>
      </w:r>
    </w:p>
    <w:p>
      <w:pPr>
        <w:ind w:firstLine="420"/>
        <w:rPr>
          <w:rFonts w:ascii="楷体" w:hAnsi="楷体" w:eastAsia="楷体"/>
          <w:sz w:val="21"/>
          <w:szCs w:val="21"/>
        </w:rPr>
      </w:pPr>
      <w:r>
        <w:rPr>
          <w:rFonts w:hint="eastAsia" w:ascii="楷体" w:hAnsi="楷体" w:eastAsia="楷体"/>
          <w:sz w:val="21"/>
          <w:szCs w:val="21"/>
          <w:lang w:val="en-US" w:eastAsia="zh-CN"/>
        </w:rPr>
        <w:t>4.</w:t>
      </w:r>
      <w:r>
        <w:rPr>
          <w:rFonts w:hint="eastAsia" w:ascii="楷体" w:hAnsi="楷体" w:eastAsia="楷体"/>
          <w:sz w:val="21"/>
          <w:szCs w:val="21"/>
        </w:rPr>
        <w:t>非因</w:t>
      </w:r>
      <w:r>
        <w:rPr>
          <w:rFonts w:hint="eastAsia" w:ascii="楷体" w:hAnsi="楷体" w:eastAsia="楷体"/>
          <w:sz w:val="21"/>
          <w:szCs w:val="21"/>
          <w:lang w:val="en-US" w:eastAsia="zh-CN"/>
        </w:rPr>
        <w:t>乙方</w:t>
      </w:r>
      <w:r>
        <w:rPr>
          <w:rFonts w:hint="eastAsia" w:ascii="楷体" w:hAnsi="楷体" w:eastAsia="楷体"/>
          <w:sz w:val="21"/>
          <w:szCs w:val="21"/>
        </w:rPr>
        <w:t>原因（包括但不限于</w:t>
      </w:r>
      <w:r>
        <w:rPr>
          <w:rFonts w:hint="eastAsia" w:ascii="楷体" w:hAnsi="楷体" w:eastAsia="楷体"/>
          <w:sz w:val="21"/>
          <w:szCs w:val="21"/>
          <w:lang w:val="en-US" w:eastAsia="zh-CN"/>
        </w:rPr>
        <w:t>甲方</w:t>
      </w:r>
      <w:r>
        <w:rPr>
          <w:rFonts w:hint="eastAsia" w:ascii="楷体" w:hAnsi="楷体" w:eastAsia="楷体"/>
          <w:sz w:val="21"/>
          <w:szCs w:val="21"/>
        </w:rPr>
        <w:t>遗失本协议、理财产品合同被盗用、</w:t>
      </w:r>
      <w:r>
        <w:rPr>
          <w:rFonts w:hint="eastAsia" w:ascii="楷体" w:hAnsi="楷体" w:eastAsia="楷体"/>
          <w:sz w:val="21"/>
          <w:szCs w:val="21"/>
          <w:lang w:val="en-US" w:eastAsia="zh-CN"/>
        </w:rPr>
        <w:t>甲方</w:t>
      </w:r>
      <w:r>
        <w:rPr>
          <w:rFonts w:hint="eastAsia" w:ascii="楷体" w:hAnsi="楷体" w:eastAsia="楷体"/>
          <w:sz w:val="21"/>
          <w:szCs w:val="21"/>
        </w:rPr>
        <w:t>资金账户被司法机关等有权部门冻结、扣划及其他投资者自身原因、投资标的固有风险等原因）造成的损失，</w:t>
      </w:r>
      <w:r>
        <w:rPr>
          <w:rFonts w:hint="eastAsia" w:ascii="楷体" w:hAnsi="楷体" w:eastAsia="楷体"/>
          <w:sz w:val="21"/>
          <w:szCs w:val="21"/>
          <w:lang w:val="en-US" w:eastAsia="zh-CN"/>
        </w:rPr>
        <w:t>乙方</w:t>
      </w:r>
      <w:r>
        <w:rPr>
          <w:rFonts w:hint="eastAsia" w:ascii="楷体" w:hAnsi="楷体" w:eastAsia="楷体"/>
          <w:sz w:val="21"/>
          <w:szCs w:val="21"/>
        </w:rPr>
        <w:t>不承担责任。</w:t>
      </w:r>
    </w:p>
    <w:p>
      <w:pPr>
        <w:ind w:firstLine="422" w:firstLineChars="200"/>
        <w:rPr>
          <w:rFonts w:hint="eastAsia" w:ascii="楷体" w:hAnsi="楷体" w:eastAsia="楷体"/>
          <w:b/>
          <w:sz w:val="21"/>
          <w:szCs w:val="21"/>
        </w:rPr>
      </w:pPr>
      <w:r>
        <w:rPr>
          <w:rFonts w:hint="eastAsia" w:ascii="楷体" w:hAnsi="楷体" w:eastAsia="楷体"/>
          <w:b/>
          <w:sz w:val="21"/>
          <w:szCs w:val="21"/>
          <w:lang w:val="en-US" w:eastAsia="zh-CN"/>
        </w:rPr>
        <w:t>六</w:t>
      </w:r>
      <w:r>
        <w:rPr>
          <w:rFonts w:hint="eastAsia" w:ascii="楷体" w:hAnsi="楷体" w:eastAsia="楷体"/>
          <w:b/>
          <w:sz w:val="21"/>
          <w:szCs w:val="21"/>
        </w:rPr>
        <w:t>、协议的生效、变更及终止</w:t>
      </w:r>
    </w:p>
    <w:p>
      <w:pPr>
        <w:ind w:firstLine="420"/>
        <w:rPr>
          <w:rStyle w:val="20"/>
          <w:rFonts w:hint="eastAsia" w:ascii="楷体" w:hAnsi="楷体" w:eastAsia="楷体" w:cs="Times New Roman"/>
          <w:sz w:val="21"/>
          <w:szCs w:val="21"/>
          <w:highlight w:val="none"/>
        </w:rPr>
      </w:pPr>
      <w:r>
        <w:rPr>
          <w:rFonts w:hint="eastAsia" w:ascii="楷体" w:hAnsi="楷体" w:eastAsia="楷体"/>
          <w:sz w:val="21"/>
          <w:szCs w:val="21"/>
          <w:highlight w:val="none"/>
          <w:lang w:val="en-US" w:eastAsia="zh-CN"/>
        </w:rPr>
        <w:t>1.</w:t>
      </w:r>
      <w:r>
        <w:rPr>
          <w:rFonts w:hint="eastAsia" w:ascii="楷体" w:hAnsi="楷体" w:eastAsia="楷体" w:cs="Times New Roman"/>
          <w:sz w:val="21"/>
          <w:szCs w:val="21"/>
          <w:highlight w:val="none"/>
        </w:rPr>
        <w:t>本协议自</w:t>
      </w:r>
      <w:r>
        <w:rPr>
          <w:rFonts w:hint="eastAsia" w:ascii="楷体" w:hAnsi="楷体" w:eastAsia="楷体"/>
          <w:sz w:val="21"/>
          <w:szCs w:val="21"/>
          <w:highlight w:val="none"/>
          <w:lang w:val="en-US" w:eastAsia="zh-CN"/>
        </w:rPr>
        <w:t>甲方</w:t>
      </w:r>
      <w:r>
        <w:rPr>
          <w:rFonts w:hint="eastAsia" w:ascii="楷体" w:hAnsi="楷体" w:eastAsia="楷体" w:cs="Times New Roman"/>
          <w:sz w:val="21"/>
          <w:szCs w:val="21"/>
          <w:highlight w:val="none"/>
        </w:rPr>
        <w:t>成功缴纳全额</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资金并经</w:t>
      </w:r>
      <w:r>
        <w:rPr>
          <w:rFonts w:hint="eastAsia" w:ascii="楷体" w:hAnsi="楷体" w:eastAsia="楷体"/>
          <w:sz w:val="21"/>
          <w:szCs w:val="21"/>
          <w:highlight w:val="none"/>
          <w:lang w:val="en-US" w:eastAsia="zh-CN"/>
        </w:rPr>
        <w:t>苏银</w:t>
      </w:r>
      <w:r>
        <w:rPr>
          <w:rFonts w:hint="eastAsia" w:ascii="楷体" w:hAnsi="楷体" w:eastAsia="楷体" w:cs="Times New Roman"/>
          <w:sz w:val="21"/>
          <w:szCs w:val="21"/>
          <w:highlight w:val="none"/>
        </w:rPr>
        <w:t>理财系统确认购买份额后成立并生效。投资者在办理理财产品</w:t>
      </w:r>
      <w:r>
        <w:rPr>
          <w:rFonts w:hint="eastAsia" w:ascii="楷体" w:hAnsi="楷体" w:eastAsia="楷体" w:cs="Times New Roman"/>
          <w:b w:val="0"/>
          <w:bCs w:val="0"/>
          <w:sz w:val="21"/>
          <w:szCs w:val="21"/>
          <w:highlight w:val="none"/>
        </w:rPr>
        <w:t>认（申）购</w:t>
      </w:r>
      <w:r>
        <w:rPr>
          <w:rFonts w:hint="eastAsia" w:ascii="楷体" w:hAnsi="楷体" w:eastAsia="楷体" w:cs="Times New Roman"/>
          <w:sz w:val="21"/>
          <w:szCs w:val="21"/>
          <w:highlight w:val="none"/>
        </w:rPr>
        <w:t>交易后，需通过销售机构查询</w:t>
      </w:r>
      <w:r>
        <w:rPr>
          <w:rFonts w:hint="eastAsia" w:ascii="楷体" w:hAnsi="楷体" w:eastAsia="楷体"/>
          <w:sz w:val="21"/>
          <w:szCs w:val="21"/>
          <w:highlight w:val="none"/>
          <w:lang w:val="en-US" w:eastAsia="zh-CN"/>
        </w:rPr>
        <w:t>份额确认情况</w:t>
      </w:r>
      <w:r>
        <w:rPr>
          <w:rFonts w:hint="eastAsia" w:ascii="楷体" w:hAnsi="楷体" w:eastAsia="楷体" w:cs="Times New Roman"/>
          <w:sz w:val="21"/>
          <w:szCs w:val="21"/>
          <w:highlight w:val="none"/>
        </w:rPr>
        <w:t>。</w:t>
      </w:r>
    </w:p>
    <w:p>
      <w:pPr>
        <w:ind w:firstLine="420"/>
        <w:rPr>
          <w:rFonts w:hint="eastAsia" w:ascii="楷体" w:hAnsi="楷体" w:eastAsia="楷体" w:cs="Times New Roman"/>
          <w:sz w:val="21"/>
          <w:szCs w:val="21"/>
          <w:highlight w:val="none"/>
        </w:rPr>
      </w:pPr>
      <w:r>
        <w:rPr>
          <w:rFonts w:hint="eastAsia" w:ascii="楷体" w:hAnsi="楷体" w:eastAsia="楷体" w:cs="Times New Roman"/>
          <w:sz w:val="21"/>
          <w:szCs w:val="21"/>
          <w:highlight w:val="none"/>
          <w:lang w:val="en-US" w:eastAsia="zh-CN"/>
        </w:rPr>
        <w:t>2.</w:t>
      </w:r>
      <w:r>
        <w:rPr>
          <w:rFonts w:hint="eastAsia" w:ascii="楷体" w:hAnsi="楷体" w:eastAsia="楷体" w:cs="Times New Roman"/>
          <w:sz w:val="21"/>
          <w:szCs w:val="21"/>
          <w:highlight w:val="none"/>
        </w:rPr>
        <w:t>本协议及理财产品合同项下各方权利义务履行完毕之日，本协议自动终止。</w:t>
      </w:r>
    </w:p>
    <w:p>
      <w:pPr>
        <w:ind w:firstLine="420"/>
        <w:rPr>
          <w:rFonts w:ascii="楷体" w:hAnsi="楷体" w:eastAsia="楷体"/>
          <w:b/>
          <w:sz w:val="21"/>
          <w:szCs w:val="21"/>
        </w:rPr>
      </w:pPr>
      <w:r>
        <w:rPr>
          <w:rFonts w:hint="eastAsia" w:ascii="楷体" w:hAnsi="楷体" w:eastAsia="楷体"/>
          <w:b/>
          <w:sz w:val="21"/>
          <w:szCs w:val="21"/>
          <w:lang w:val="en-US" w:eastAsia="zh-CN"/>
        </w:rPr>
        <w:t>七</w:t>
      </w:r>
      <w:r>
        <w:rPr>
          <w:rFonts w:hint="eastAsia" w:ascii="楷体" w:hAnsi="楷体" w:eastAsia="楷体"/>
          <w:b/>
          <w:sz w:val="21"/>
          <w:szCs w:val="21"/>
        </w:rPr>
        <w:t>、本合同的订立、生效、履行、解释、修改和终止等事项均适用中华人民共和国（不包括香港特别行政区、澳门特别行政区和台湾地区）法律。</w:t>
      </w:r>
    </w:p>
    <w:p>
      <w:pPr>
        <w:ind w:left="0" w:leftChars="0" w:firstLine="420" w:firstLineChars="200"/>
        <w:rPr>
          <w:rFonts w:hint="eastAsia" w:ascii="楷体" w:hAnsi="楷体" w:eastAsia="楷体"/>
          <w:sz w:val="21"/>
          <w:szCs w:val="21"/>
        </w:rPr>
      </w:pPr>
      <w:r>
        <w:rPr>
          <w:rFonts w:hint="eastAsia" w:ascii="楷体" w:hAnsi="楷体" w:eastAsia="楷体"/>
          <w:sz w:val="21"/>
          <w:szCs w:val="21"/>
        </w:rPr>
        <w:t>因本合同引起的或与本合同有关的任何争议，应当首先通过双方之间的友好协商解决；协商不成的，双方均有权提交</w:t>
      </w:r>
      <w:r>
        <w:rPr>
          <w:rFonts w:hint="eastAsia" w:ascii="楷体" w:hAnsi="楷体" w:eastAsia="楷体"/>
          <w:sz w:val="21"/>
          <w:szCs w:val="21"/>
          <w:lang w:val="en-US" w:eastAsia="zh-CN"/>
        </w:rPr>
        <w:t>乙方</w:t>
      </w:r>
      <w:r>
        <w:rPr>
          <w:rFonts w:hint="eastAsia" w:ascii="楷体" w:hAnsi="楷体" w:eastAsia="楷体"/>
          <w:sz w:val="21"/>
          <w:szCs w:val="21"/>
        </w:rPr>
        <w:t>所在地有管辖权的人民法院诉讼解决。</w:t>
      </w:r>
    </w:p>
    <w:p>
      <w:pPr>
        <w:ind w:firstLine="420"/>
        <w:rPr>
          <w:rFonts w:hint="default" w:ascii="楷体" w:hAnsi="楷体" w:eastAsia="楷体"/>
          <w:b/>
          <w:sz w:val="21"/>
          <w:szCs w:val="21"/>
          <w:lang w:val="en-US" w:eastAsia="zh-CN"/>
        </w:rPr>
      </w:pPr>
      <w:r>
        <w:rPr>
          <w:rFonts w:hint="eastAsia" w:ascii="楷体" w:hAnsi="楷体" w:eastAsia="楷体"/>
          <w:b/>
          <w:sz w:val="21"/>
          <w:szCs w:val="21"/>
          <w:lang w:val="en-US" w:eastAsia="zh-CN"/>
        </w:rPr>
        <w:t>八</w:t>
      </w:r>
      <w:r>
        <w:rPr>
          <w:rFonts w:hint="eastAsia" w:ascii="楷体" w:hAnsi="楷体" w:eastAsia="楷体"/>
          <w:b/>
          <w:sz w:val="21"/>
          <w:szCs w:val="21"/>
        </w:rPr>
        <w:t>、</w:t>
      </w:r>
      <w:r>
        <w:rPr>
          <w:rFonts w:hint="eastAsia" w:ascii="楷体" w:hAnsi="楷体" w:eastAsia="楷体"/>
          <w:b/>
          <w:sz w:val="21"/>
          <w:szCs w:val="21"/>
          <w:lang w:val="en-US" w:eastAsia="zh-CN"/>
        </w:rPr>
        <w:t>投资协议书未尽事宜，以理财产品说明书、风险揭示书、理财产品（代理）销售协议书、投资者权益须知的约定内容为准。签署本协议视为同意并接受以上法律文件的所有内容。</w:t>
      </w:r>
    </w:p>
    <w:p>
      <w:pPr>
        <w:numPr>
          <w:ilvl w:val="0"/>
          <w:numId w:val="0"/>
        </w:numPr>
        <w:ind w:firstLine="420" w:firstLineChars="200"/>
        <w:rPr>
          <w:rFonts w:hint="eastAsia" w:ascii="楷体" w:hAnsi="楷体" w:eastAsia="楷体"/>
          <w:sz w:val="21"/>
          <w:szCs w:val="21"/>
        </w:rPr>
      </w:pPr>
      <w:r>
        <w:rPr>
          <w:rFonts w:ascii="楷体" w:hAnsi="楷体" w:eastAsia="楷体"/>
          <w:sz w:val="21"/>
          <w:szCs w:val="21"/>
        </w:rPr>
        <w:t>甲方</w:t>
      </w:r>
      <w:r>
        <w:rPr>
          <w:rFonts w:hint="eastAsia" w:ascii="楷体" w:hAnsi="楷体" w:eastAsia="楷体"/>
          <w:sz w:val="21"/>
          <w:szCs w:val="21"/>
        </w:rPr>
        <w:t xml:space="preserve">（个人客户签字）：      </w:t>
      </w:r>
      <w:r>
        <w:rPr>
          <w:rFonts w:ascii="楷体" w:hAnsi="楷体" w:eastAsia="楷体"/>
          <w:sz w:val="21"/>
          <w:szCs w:val="21"/>
        </w:rPr>
        <w:t>甲方</w:t>
      </w:r>
      <w:r>
        <w:rPr>
          <w:rFonts w:hint="eastAsia" w:ascii="楷体" w:hAnsi="楷体" w:eastAsia="楷体"/>
          <w:sz w:val="21"/>
          <w:szCs w:val="21"/>
        </w:rPr>
        <w:t>（机构客户盖章）：</w:t>
      </w:r>
    </w:p>
    <w:p>
      <w:pPr>
        <w:rPr>
          <w:rFonts w:hint="eastAsia" w:ascii="楷体" w:hAnsi="楷体" w:eastAsia="楷体"/>
          <w:sz w:val="21"/>
          <w:szCs w:val="21"/>
        </w:rPr>
      </w:pPr>
    </w:p>
    <w:p>
      <w:pPr>
        <w:rPr>
          <w:rFonts w:hint="eastAsia" w:ascii="楷体" w:hAnsi="楷体" w:eastAsia="楷体"/>
          <w:sz w:val="21"/>
          <w:szCs w:val="21"/>
        </w:rPr>
      </w:pPr>
    </w:p>
    <w:p>
      <w:pPr>
        <w:rPr>
          <w:rFonts w:hint="eastAsia" w:ascii="楷体" w:hAnsi="楷体" w:eastAsia="楷体"/>
          <w:sz w:val="21"/>
          <w:szCs w:val="21"/>
        </w:rPr>
      </w:pPr>
      <w:r>
        <w:rPr>
          <w:rFonts w:hint="eastAsia" w:ascii="楷体" w:hAnsi="楷体" w:eastAsia="楷体"/>
          <w:szCs w:val="21"/>
        </w:rPr>
        <w:t xml:space="preserve">                               </w:t>
      </w:r>
      <w:r>
        <w:rPr>
          <w:rFonts w:hint="eastAsia" w:ascii="楷体" w:hAnsi="楷体" w:eastAsia="楷体"/>
          <w:sz w:val="21"/>
          <w:szCs w:val="21"/>
        </w:rPr>
        <w:t>机构客户法定代表人或授权代表（签字或盖章）</w:t>
      </w:r>
    </w:p>
    <w:p>
      <w:pPr>
        <w:rPr>
          <w:rFonts w:hint="eastAsia" w:ascii="楷体" w:hAnsi="楷体" w:eastAsia="楷体"/>
          <w:sz w:val="21"/>
          <w:szCs w:val="21"/>
        </w:rPr>
      </w:pPr>
    </w:p>
    <w:p>
      <w:pPr>
        <w:autoSpaceDE w:val="0"/>
        <w:autoSpaceDN w:val="0"/>
        <w:adjustRightInd w:val="0"/>
        <w:jc w:val="right"/>
        <w:rPr>
          <w:rFonts w:ascii="楷体" w:hAnsi="楷体" w:eastAsia="楷体"/>
          <w:sz w:val="24"/>
          <w:szCs w:val="24"/>
        </w:rPr>
      </w:pPr>
      <w:r>
        <w:rPr>
          <w:rFonts w:ascii="楷体" w:hAnsi="楷体" w:eastAsia="楷体"/>
          <w:sz w:val="21"/>
          <w:szCs w:val="21"/>
        </w:rPr>
        <w:t>签署日期：</w:t>
      </w:r>
      <w:r>
        <w:rPr>
          <w:rFonts w:hint="eastAsia" w:ascii="楷体" w:hAnsi="楷体" w:eastAsia="楷体"/>
          <w:sz w:val="21"/>
          <w:szCs w:val="21"/>
        </w:rPr>
        <w:t xml:space="preserve">      </w:t>
      </w:r>
      <w:r>
        <w:rPr>
          <w:rFonts w:ascii="楷体" w:hAnsi="楷体" w:eastAsia="楷体"/>
          <w:sz w:val="21"/>
          <w:szCs w:val="21"/>
        </w:rPr>
        <w:t>年</w:t>
      </w:r>
      <w:r>
        <w:rPr>
          <w:rFonts w:hint="eastAsia" w:ascii="楷体" w:hAnsi="楷体" w:eastAsia="楷体"/>
          <w:sz w:val="21"/>
          <w:szCs w:val="21"/>
        </w:rPr>
        <w:t xml:space="preserve">      </w:t>
      </w:r>
      <w:r>
        <w:rPr>
          <w:rFonts w:ascii="楷体" w:hAnsi="楷体" w:eastAsia="楷体"/>
          <w:sz w:val="21"/>
          <w:szCs w:val="21"/>
        </w:rPr>
        <w:t>月</w:t>
      </w:r>
      <w:r>
        <w:rPr>
          <w:rFonts w:hint="eastAsia" w:ascii="楷体" w:hAnsi="楷体" w:eastAsia="楷体"/>
          <w:sz w:val="21"/>
          <w:szCs w:val="21"/>
        </w:rPr>
        <w:t xml:space="preserve">     日</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 w:name="方正仿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2050" o:spt="75" alt="说明: 说明: C:\Users\JSYH\Desktop\苏银理财.png" type="#_x0000_t75" style="position:absolute;left:0pt;margin-left:390.95pt;margin-top:-7.5pt;height:33.45pt;width:104.35pt;mso-wrap-distance-bottom:0pt;mso-wrap-distance-left:9pt;mso-wrap-distance-right:9pt;mso-wrap-distance-top:0pt;z-index:251663360;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2051" o:spt="75" type="#_x0000_t75" style="position:absolute;left:0pt;margin-left:-315.7pt;margin-top:-81.05pt;height:862.85pt;width:1137.35pt;mso-position-horizontal-relative:margin;mso-position-vertical-relative:margin;z-index:-251654144;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2052" o:spt="75" type="#_x0000_t75" style="position:absolute;left:0pt;height:862.85pt;width:1137.35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204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837F028"/>
    <w:multiLevelType w:val="multilevel"/>
    <w:tmpl w:val="8837F028"/>
    <w:lvl w:ilvl="0" w:tentative="0">
      <w:start w:val="1"/>
      <w:numFmt w:val="chineseCounting"/>
      <w:suff w:val="nothing"/>
      <w:lvlText w:val="（%1）"/>
      <w:lvlJc w:val="left"/>
      <w:pPr>
        <w:tabs>
          <w:tab w:val="left" w:pos="0"/>
        </w:tabs>
        <w:ind w:left="420" w:hanging="42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8CA9D336"/>
    <w:multiLevelType w:val="multilevel"/>
    <w:tmpl w:val="8CA9D336"/>
    <w:lvl w:ilvl="0" w:tentative="0">
      <w:start w:val="1"/>
      <w:numFmt w:val="chineseCounting"/>
      <w:suff w:val="nothing"/>
      <w:lvlText w:val="（%1）"/>
      <w:lvlJc w:val="left"/>
      <w:pPr>
        <w:tabs>
          <w:tab w:val="left" w:pos="0"/>
        </w:tabs>
        <w:ind w:left="420" w:hanging="420"/>
      </w:pPr>
      <w:rPr>
        <w:rFonts w:hint="eastAsia" w:ascii="楷体" w:hAnsi="楷体" w:eastAsia="楷体" w:cs="楷体"/>
        <w:b/>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C6965CB1"/>
    <w:multiLevelType w:val="multilevel"/>
    <w:tmpl w:val="C6965CB1"/>
    <w:lvl w:ilvl="0" w:tentative="0">
      <w:start w:val="1"/>
      <w:numFmt w:val="decimal"/>
      <w:suff w:val="nothing"/>
      <w:lvlText w:val="%1."/>
      <w:lvlJc w:val="left"/>
      <w:pPr>
        <w:tabs>
          <w:tab w:val="left" w:pos="420"/>
        </w:tabs>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D4FA9CD1"/>
    <w:multiLevelType w:val="singleLevel"/>
    <w:tmpl w:val="D4FA9CD1"/>
    <w:lvl w:ilvl="0" w:tentative="0">
      <w:start w:val="1"/>
      <w:numFmt w:val="decimalEnclosedCircleChinese"/>
      <w:suff w:val="nothing"/>
      <w:lvlText w:val="%1"/>
      <w:lvlJc w:val="left"/>
      <w:pPr>
        <w:tabs>
          <w:tab w:val="left" w:pos="0"/>
        </w:tabs>
        <w:ind w:left="0" w:firstLine="0"/>
      </w:pPr>
      <w:rPr>
        <w:rFonts w:hint="eastAsia" w:ascii="楷体" w:hAnsi="楷体" w:eastAsia="楷体" w:cs="楷体"/>
      </w:rPr>
    </w:lvl>
  </w:abstractNum>
  <w:abstractNum w:abstractNumId="6">
    <w:nsid w:val="D55A4D67"/>
    <w:multiLevelType w:val="multilevel"/>
    <w:tmpl w:val="D55A4D67"/>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E2209538"/>
    <w:multiLevelType w:val="multilevel"/>
    <w:tmpl w:val="E2209538"/>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EE895835"/>
    <w:multiLevelType w:val="multilevel"/>
    <w:tmpl w:val="EE895835"/>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F9EB37A1"/>
    <w:multiLevelType w:val="multilevel"/>
    <w:tmpl w:val="F9EB37A1"/>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FABDD487"/>
    <w:multiLevelType w:val="multilevel"/>
    <w:tmpl w:val="FABDD487"/>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12C31650"/>
    <w:multiLevelType w:val="multilevel"/>
    <w:tmpl w:val="12C31650"/>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2D42F757"/>
    <w:multiLevelType w:val="singleLevel"/>
    <w:tmpl w:val="2D42F757"/>
    <w:lvl w:ilvl="0" w:tentative="0">
      <w:start w:val="2"/>
      <w:numFmt w:val="chineseCounting"/>
      <w:suff w:val="nothing"/>
      <w:lvlText w:val="（%1）"/>
      <w:lvlJc w:val="left"/>
      <w:rPr>
        <w:rFonts w:hint="eastAsia"/>
        <w:b/>
        <w:bCs/>
      </w:rPr>
    </w:lvl>
  </w:abstractNum>
  <w:abstractNum w:abstractNumId="15">
    <w:nsid w:val="2F62CAAB"/>
    <w:multiLevelType w:val="singleLevel"/>
    <w:tmpl w:val="2F62CAAB"/>
    <w:lvl w:ilvl="0" w:tentative="0">
      <w:start w:val="1"/>
      <w:numFmt w:val="decimal"/>
      <w:suff w:val="nothing"/>
      <w:lvlText w:val="%1."/>
      <w:lvlJc w:val="left"/>
      <w:pPr>
        <w:tabs>
          <w:tab w:val="left" w:pos="0"/>
        </w:tabs>
        <w:ind w:left="0" w:firstLine="0"/>
      </w:pPr>
      <w:rPr>
        <w:rFonts w:hint="default"/>
      </w:rPr>
    </w:lvl>
  </w:abstractNum>
  <w:abstractNum w:abstractNumId="16">
    <w:nsid w:val="33EC73A0"/>
    <w:multiLevelType w:val="multilevel"/>
    <w:tmpl w:val="33EC73A0"/>
    <w:lvl w:ilvl="0" w:tentative="0">
      <w:start w:val="1"/>
      <w:numFmt w:val="chineseCounting"/>
      <w:suff w:val="nothing"/>
      <w:lvlText w:val="（%1）"/>
      <w:lvlJc w:val="left"/>
      <w:pPr>
        <w:tabs>
          <w:tab w:val="left" w:pos="0"/>
        </w:tabs>
        <w:ind w:left="0" w:firstLine="709"/>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3603F780"/>
    <w:multiLevelType w:val="multilevel"/>
    <w:tmpl w:val="3603F780"/>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19">
    <w:nsid w:val="4C33CBE2"/>
    <w:multiLevelType w:val="multilevel"/>
    <w:tmpl w:val="4C33CBE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21">
    <w:nsid w:val="537C70F8"/>
    <w:multiLevelType w:val="multilevel"/>
    <w:tmpl w:val="537C70F8"/>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2">
    <w:nsid w:val="5959BFF6"/>
    <w:multiLevelType w:val="multilevel"/>
    <w:tmpl w:val="5959BFF6"/>
    <w:lvl w:ilvl="0" w:tentative="0">
      <w:start w:val="1"/>
      <w:numFmt w:val="decimal"/>
      <w:suff w:val="nothing"/>
      <w:lvlText w:val="%1."/>
      <w:lvlJc w:val="left"/>
      <w:pPr>
        <w:ind w:left="0" w:leftChars="0" w:firstLine="0" w:firstLineChars="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3">
    <w:nsid w:val="63B36EF9"/>
    <w:multiLevelType w:val="multilevel"/>
    <w:tmpl w:val="63B36EF9"/>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4">
    <w:nsid w:val="66CD7663"/>
    <w:multiLevelType w:val="multilevel"/>
    <w:tmpl w:val="66CD7663"/>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9"/>
  </w:num>
  <w:num w:numId="2">
    <w:abstractNumId w:val="2"/>
  </w:num>
  <w:num w:numId="3">
    <w:abstractNumId w:val="22"/>
  </w:num>
  <w:num w:numId="4">
    <w:abstractNumId w:val="8"/>
  </w:num>
  <w:num w:numId="5">
    <w:abstractNumId w:val="18"/>
  </w:num>
  <w:num w:numId="6">
    <w:abstractNumId w:val="21"/>
  </w:num>
  <w:num w:numId="7">
    <w:abstractNumId w:val="1"/>
  </w:num>
  <w:num w:numId="8">
    <w:abstractNumId w:val="3"/>
  </w:num>
  <w:num w:numId="9">
    <w:abstractNumId w:val="13"/>
  </w:num>
  <w:num w:numId="10">
    <w:abstractNumId w:val="6"/>
  </w:num>
  <w:num w:numId="11">
    <w:abstractNumId w:val="5"/>
  </w:num>
  <w:num w:numId="12">
    <w:abstractNumId w:val="20"/>
  </w:num>
  <w:num w:numId="13">
    <w:abstractNumId w:val="23"/>
  </w:num>
  <w:num w:numId="14">
    <w:abstractNumId w:val="16"/>
  </w:num>
  <w:num w:numId="15">
    <w:abstractNumId w:val="12"/>
  </w:num>
  <w:num w:numId="16">
    <w:abstractNumId w:val="11"/>
  </w:num>
  <w:num w:numId="17">
    <w:abstractNumId w:val="4"/>
  </w:num>
  <w:num w:numId="18">
    <w:abstractNumId w:val="0"/>
  </w:num>
  <w:num w:numId="19">
    <w:abstractNumId w:val="24"/>
  </w:num>
  <w:num w:numId="20">
    <w:abstractNumId w:val="15"/>
  </w:num>
  <w:num w:numId="21">
    <w:abstractNumId w:val="7"/>
  </w:num>
  <w:num w:numId="22">
    <w:abstractNumId w:val="17"/>
  </w:num>
  <w:num w:numId="23">
    <w:abstractNumId w:val="9"/>
  </w:num>
  <w:num w:numId="24">
    <w:abstractNumId w:val="1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2F"/>
    <w:rsid w:val="00001D6B"/>
    <w:rsid w:val="00001E2F"/>
    <w:rsid w:val="00002389"/>
    <w:rsid w:val="000025C6"/>
    <w:rsid w:val="00003606"/>
    <w:rsid w:val="000043F8"/>
    <w:rsid w:val="000048B0"/>
    <w:rsid w:val="00004FA3"/>
    <w:rsid w:val="00005B01"/>
    <w:rsid w:val="00007563"/>
    <w:rsid w:val="00007F77"/>
    <w:rsid w:val="000101E4"/>
    <w:rsid w:val="0001103A"/>
    <w:rsid w:val="000120EF"/>
    <w:rsid w:val="000130AA"/>
    <w:rsid w:val="000131EF"/>
    <w:rsid w:val="00013628"/>
    <w:rsid w:val="00014334"/>
    <w:rsid w:val="00015A92"/>
    <w:rsid w:val="00015D58"/>
    <w:rsid w:val="00016232"/>
    <w:rsid w:val="00017AB0"/>
    <w:rsid w:val="000202D4"/>
    <w:rsid w:val="0002052D"/>
    <w:rsid w:val="000206F2"/>
    <w:rsid w:val="00020A6F"/>
    <w:rsid w:val="00021007"/>
    <w:rsid w:val="00022C9F"/>
    <w:rsid w:val="00023BA8"/>
    <w:rsid w:val="0002422A"/>
    <w:rsid w:val="000247F9"/>
    <w:rsid w:val="00027967"/>
    <w:rsid w:val="00027E0E"/>
    <w:rsid w:val="00027E61"/>
    <w:rsid w:val="00027F48"/>
    <w:rsid w:val="0003072E"/>
    <w:rsid w:val="00030D69"/>
    <w:rsid w:val="00031806"/>
    <w:rsid w:val="00031F80"/>
    <w:rsid w:val="00033EF7"/>
    <w:rsid w:val="00034890"/>
    <w:rsid w:val="000348C1"/>
    <w:rsid w:val="00035097"/>
    <w:rsid w:val="00036482"/>
    <w:rsid w:val="000372DB"/>
    <w:rsid w:val="00037CC9"/>
    <w:rsid w:val="000405B1"/>
    <w:rsid w:val="00041036"/>
    <w:rsid w:val="00041D3B"/>
    <w:rsid w:val="00042DCC"/>
    <w:rsid w:val="00043D5F"/>
    <w:rsid w:val="000461C3"/>
    <w:rsid w:val="000469D0"/>
    <w:rsid w:val="00046E92"/>
    <w:rsid w:val="00050975"/>
    <w:rsid w:val="00050DF3"/>
    <w:rsid w:val="00050E5A"/>
    <w:rsid w:val="00051317"/>
    <w:rsid w:val="00051703"/>
    <w:rsid w:val="0005219D"/>
    <w:rsid w:val="000532AB"/>
    <w:rsid w:val="00053BD9"/>
    <w:rsid w:val="00054854"/>
    <w:rsid w:val="000554B0"/>
    <w:rsid w:val="00055892"/>
    <w:rsid w:val="00056102"/>
    <w:rsid w:val="00056289"/>
    <w:rsid w:val="00057D3B"/>
    <w:rsid w:val="00060571"/>
    <w:rsid w:val="00061D74"/>
    <w:rsid w:val="00062791"/>
    <w:rsid w:val="000636A6"/>
    <w:rsid w:val="00063EE4"/>
    <w:rsid w:val="0006404F"/>
    <w:rsid w:val="0006492D"/>
    <w:rsid w:val="00064F2B"/>
    <w:rsid w:val="000650CF"/>
    <w:rsid w:val="0006590E"/>
    <w:rsid w:val="00066F56"/>
    <w:rsid w:val="000677EE"/>
    <w:rsid w:val="000679B3"/>
    <w:rsid w:val="00067F18"/>
    <w:rsid w:val="00070D08"/>
    <w:rsid w:val="000713B1"/>
    <w:rsid w:val="00071418"/>
    <w:rsid w:val="00071581"/>
    <w:rsid w:val="00072647"/>
    <w:rsid w:val="0007293A"/>
    <w:rsid w:val="00072D1F"/>
    <w:rsid w:val="0007366C"/>
    <w:rsid w:val="00074189"/>
    <w:rsid w:val="00074306"/>
    <w:rsid w:val="00077C7D"/>
    <w:rsid w:val="000807AE"/>
    <w:rsid w:val="00080C2C"/>
    <w:rsid w:val="00081AD6"/>
    <w:rsid w:val="0008269B"/>
    <w:rsid w:val="00083410"/>
    <w:rsid w:val="0008386F"/>
    <w:rsid w:val="000853F6"/>
    <w:rsid w:val="0008614F"/>
    <w:rsid w:val="000867A8"/>
    <w:rsid w:val="00087036"/>
    <w:rsid w:val="00087EDB"/>
    <w:rsid w:val="000914A2"/>
    <w:rsid w:val="000918B5"/>
    <w:rsid w:val="00093C11"/>
    <w:rsid w:val="00094566"/>
    <w:rsid w:val="00094631"/>
    <w:rsid w:val="00094EA8"/>
    <w:rsid w:val="0009533A"/>
    <w:rsid w:val="00096382"/>
    <w:rsid w:val="00096F94"/>
    <w:rsid w:val="0009795C"/>
    <w:rsid w:val="00097F80"/>
    <w:rsid w:val="000A0CF5"/>
    <w:rsid w:val="000A1E61"/>
    <w:rsid w:val="000A2D2D"/>
    <w:rsid w:val="000A2E68"/>
    <w:rsid w:val="000A326F"/>
    <w:rsid w:val="000A45AB"/>
    <w:rsid w:val="000A5306"/>
    <w:rsid w:val="000A5A45"/>
    <w:rsid w:val="000A5AC2"/>
    <w:rsid w:val="000B0078"/>
    <w:rsid w:val="000B22CD"/>
    <w:rsid w:val="000B2615"/>
    <w:rsid w:val="000B28FE"/>
    <w:rsid w:val="000B3B58"/>
    <w:rsid w:val="000B3EFD"/>
    <w:rsid w:val="000B4253"/>
    <w:rsid w:val="000B52D9"/>
    <w:rsid w:val="000B659B"/>
    <w:rsid w:val="000B6AEF"/>
    <w:rsid w:val="000B6E9F"/>
    <w:rsid w:val="000C12E3"/>
    <w:rsid w:val="000C42F9"/>
    <w:rsid w:val="000C44FD"/>
    <w:rsid w:val="000C54ED"/>
    <w:rsid w:val="000C6143"/>
    <w:rsid w:val="000C6B07"/>
    <w:rsid w:val="000C7382"/>
    <w:rsid w:val="000D0059"/>
    <w:rsid w:val="000D08F8"/>
    <w:rsid w:val="000D10C9"/>
    <w:rsid w:val="000D1F0D"/>
    <w:rsid w:val="000D2387"/>
    <w:rsid w:val="000D35BD"/>
    <w:rsid w:val="000D4F83"/>
    <w:rsid w:val="000D71CF"/>
    <w:rsid w:val="000D7225"/>
    <w:rsid w:val="000D722C"/>
    <w:rsid w:val="000D7809"/>
    <w:rsid w:val="000E0485"/>
    <w:rsid w:val="000E2E7D"/>
    <w:rsid w:val="000E34A7"/>
    <w:rsid w:val="000E34F3"/>
    <w:rsid w:val="000E400B"/>
    <w:rsid w:val="000E4205"/>
    <w:rsid w:val="000E575B"/>
    <w:rsid w:val="000E6227"/>
    <w:rsid w:val="000E6310"/>
    <w:rsid w:val="000E7CF6"/>
    <w:rsid w:val="000E7E08"/>
    <w:rsid w:val="000E7E53"/>
    <w:rsid w:val="000F0433"/>
    <w:rsid w:val="000F0802"/>
    <w:rsid w:val="000F0B34"/>
    <w:rsid w:val="000F1D3C"/>
    <w:rsid w:val="000F2129"/>
    <w:rsid w:val="000F3DD2"/>
    <w:rsid w:val="000F4243"/>
    <w:rsid w:val="000F4ABF"/>
    <w:rsid w:val="000F5B66"/>
    <w:rsid w:val="000F5FF6"/>
    <w:rsid w:val="000F65C5"/>
    <w:rsid w:val="000F7056"/>
    <w:rsid w:val="000F7D2C"/>
    <w:rsid w:val="000F7F9F"/>
    <w:rsid w:val="00100F0C"/>
    <w:rsid w:val="001025A3"/>
    <w:rsid w:val="0010303D"/>
    <w:rsid w:val="001030B4"/>
    <w:rsid w:val="001036A0"/>
    <w:rsid w:val="0010457E"/>
    <w:rsid w:val="001065F5"/>
    <w:rsid w:val="001067B9"/>
    <w:rsid w:val="00106AD4"/>
    <w:rsid w:val="00106C25"/>
    <w:rsid w:val="00106C69"/>
    <w:rsid w:val="00110417"/>
    <w:rsid w:val="00110A34"/>
    <w:rsid w:val="00111670"/>
    <w:rsid w:val="001116B6"/>
    <w:rsid w:val="00111E3E"/>
    <w:rsid w:val="001126F6"/>
    <w:rsid w:val="001128B8"/>
    <w:rsid w:val="00113CAA"/>
    <w:rsid w:val="0011567D"/>
    <w:rsid w:val="00115E7F"/>
    <w:rsid w:val="00121925"/>
    <w:rsid w:val="00122F58"/>
    <w:rsid w:val="0012352A"/>
    <w:rsid w:val="00123893"/>
    <w:rsid w:val="001238E9"/>
    <w:rsid w:val="0012411A"/>
    <w:rsid w:val="001242DE"/>
    <w:rsid w:val="00125B8C"/>
    <w:rsid w:val="0012647A"/>
    <w:rsid w:val="00126CA4"/>
    <w:rsid w:val="0013007E"/>
    <w:rsid w:val="00130849"/>
    <w:rsid w:val="00130EED"/>
    <w:rsid w:val="00130F7B"/>
    <w:rsid w:val="00132F8C"/>
    <w:rsid w:val="001334DD"/>
    <w:rsid w:val="0013364F"/>
    <w:rsid w:val="00133916"/>
    <w:rsid w:val="00133B98"/>
    <w:rsid w:val="00133F17"/>
    <w:rsid w:val="0013472F"/>
    <w:rsid w:val="00134733"/>
    <w:rsid w:val="001359ED"/>
    <w:rsid w:val="00136031"/>
    <w:rsid w:val="00136174"/>
    <w:rsid w:val="0013788B"/>
    <w:rsid w:val="001405BE"/>
    <w:rsid w:val="0014066A"/>
    <w:rsid w:val="00140B25"/>
    <w:rsid w:val="00141246"/>
    <w:rsid w:val="001416EE"/>
    <w:rsid w:val="0014279A"/>
    <w:rsid w:val="00142AE4"/>
    <w:rsid w:val="001450DF"/>
    <w:rsid w:val="00145CA6"/>
    <w:rsid w:val="0014734D"/>
    <w:rsid w:val="00152B36"/>
    <w:rsid w:val="001530B2"/>
    <w:rsid w:val="001539BE"/>
    <w:rsid w:val="001543E7"/>
    <w:rsid w:val="00155147"/>
    <w:rsid w:val="00155B77"/>
    <w:rsid w:val="001602D7"/>
    <w:rsid w:val="00160569"/>
    <w:rsid w:val="001607BE"/>
    <w:rsid w:val="00161E2F"/>
    <w:rsid w:val="001624A3"/>
    <w:rsid w:val="001624CE"/>
    <w:rsid w:val="001624DA"/>
    <w:rsid w:val="00162BF5"/>
    <w:rsid w:val="001635F5"/>
    <w:rsid w:val="001639EF"/>
    <w:rsid w:val="001640D4"/>
    <w:rsid w:val="00165E23"/>
    <w:rsid w:val="00166B3A"/>
    <w:rsid w:val="00166CD4"/>
    <w:rsid w:val="00170099"/>
    <w:rsid w:val="00170194"/>
    <w:rsid w:val="00170927"/>
    <w:rsid w:val="0017092A"/>
    <w:rsid w:val="00170984"/>
    <w:rsid w:val="001722CD"/>
    <w:rsid w:val="001725B6"/>
    <w:rsid w:val="00172ACA"/>
    <w:rsid w:val="00172D8B"/>
    <w:rsid w:val="00172F57"/>
    <w:rsid w:val="00173177"/>
    <w:rsid w:val="00174417"/>
    <w:rsid w:val="001749CF"/>
    <w:rsid w:val="00175CEC"/>
    <w:rsid w:val="00176B8E"/>
    <w:rsid w:val="00176DCF"/>
    <w:rsid w:val="00177BCC"/>
    <w:rsid w:val="0018035B"/>
    <w:rsid w:val="00180DEC"/>
    <w:rsid w:val="00181CB9"/>
    <w:rsid w:val="0018251A"/>
    <w:rsid w:val="00183891"/>
    <w:rsid w:val="0018458D"/>
    <w:rsid w:val="001846FB"/>
    <w:rsid w:val="00185658"/>
    <w:rsid w:val="00185919"/>
    <w:rsid w:val="00190AA2"/>
    <w:rsid w:val="0019215D"/>
    <w:rsid w:val="00194059"/>
    <w:rsid w:val="00194E69"/>
    <w:rsid w:val="00197DD9"/>
    <w:rsid w:val="001A05F5"/>
    <w:rsid w:val="001A2CFB"/>
    <w:rsid w:val="001A46C0"/>
    <w:rsid w:val="001A57DB"/>
    <w:rsid w:val="001A586B"/>
    <w:rsid w:val="001A73F1"/>
    <w:rsid w:val="001A743E"/>
    <w:rsid w:val="001B043A"/>
    <w:rsid w:val="001B146C"/>
    <w:rsid w:val="001B1D26"/>
    <w:rsid w:val="001B1E1E"/>
    <w:rsid w:val="001B2F76"/>
    <w:rsid w:val="001B2F82"/>
    <w:rsid w:val="001B396B"/>
    <w:rsid w:val="001B4715"/>
    <w:rsid w:val="001B4B9C"/>
    <w:rsid w:val="001B5E33"/>
    <w:rsid w:val="001B7D0D"/>
    <w:rsid w:val="001B7F23"/>
    <w:rsid w:val="001C13E9"/>
    <w:rsid w:val="001C20D1"/>
    <w:rsid w:val="001C319E"/>
    <w:rsid w:val="001C3F7D"/>
    <w:rsid w:val="001C4148"/>
    <w:rsid w:val="001C5E04"/>
    <w:rsid w:val="001C78FF"/>
    <w:rsid w:val="001C7AE7"/>
    <w:rsid w:val="001D016F"/>
    <w:rsid w:val="001D03B6"/>
    <w:rsid w:val="001D0B29"/>
    <w:rsid w:val="001D1C27"/>
    <w:rsid w:val="001D204E"/>
    <w:rsid w:val="001D27D0"/>
    <w:rsid w:val="001D2A8B"/>
    <w:rsid w:val="001D2BA1"/>
    <w:rsid w:val="001D3862"/>
    <w:rsid w:val="001D3D33"/>
    <w:rsid w:val="001D438D"/>
    <w:rsid w:val="001D49AC"/>
    <w:rsid w:val="001D4BC9"/>
    <w:rsid w:val="001D4FE1"/>
    <w:rsid w:val="001D77C6"/>
    <w:rsid w:val="001D7888"/>
    <w:rsid w:val="001D78FF"/>
    <w:rsid w:val="001E0387"/>
    <w:rsid w:val="001E1E57"/>
    <w:rsid w:val="001E1FC6"/>
    <w:rsid w:val="001E223F"/>
    <w:rsid w:val="001E2B6E"/>
    <w:rsid w:val="001E4374"/>
    <w:rsid w:val="001E4A82"/>
    <w:rsid w:val="001E4C0D"/>
    <w:rsid w:val="001E4E95"/>
    <w:rsid w:val="001E5629"/>
    <w:rsid w:val="001E5FBA"/>
    <w:rsid w:val="001E631F"/>
    <w:rsid w:val="001F0A69"/>
    <w:rsid w:val="001F1728"/>
    <w:rsid w:val="001F1774"/>
    <w:rsid w:val="001F24A4"/>
    <w:rsid w:val="001F2658"/>
    <w:rsid w:val="001F3560"/>
    <w:rsid w:val="001F3AD6"/>
    <w:rsid w:val="001F3CCB"/>
    <w:rsid w:val="001F46D5"/>
    <w:rsid w:val="001F4F46"/>
    <w:rsid w:val="001F5B12"/>
    <w:rsid w:val="001F5C21"/>
    <w:rsid w:val="001F6073"/>
    <w:rsid w:val="001F63BD"/>
    <w:rsid w:val="001F6775"/>
    <w:rsid w:val="001F69BF"/>
    <w:rsid w:val="002005FF"/>
    <w:rsid w:val="00200A0E"/>
    <w:rsid w:val="00200DF8"/>
    <w:rsid w:val="002016BF"/>
    <w:rsid w:val="002024E9"/>
    <w:rsid w:val="00203A58"/>
    <w:rsid w:val="002054DB"/>
    <w:rsid w:val="00206282"/>
    <w:rsid w:val="0020639A"/>
    <w:rsid w:val="00206ED3"/>
    <w:rsid w:val="0020755B"/>
    <w:rsid w:val="00210354"/>
    <w:rsid w:val="00210857"/>
    <w:rsid w:val="00210AFE"/>
    <w:rsid w:val="00210D30"/>
    <w:rsid w:val="002119A2"/>
    <w:rsid w:val="00213962"/>
    <w:rsid w:val="00216601"/>
    <w:rsid w:val="0022162D"/>
    <w:rsid w:val="002222A4"/>
    <w:rsid w:val="002224F0"/>
    <w:rsid w:val="00224B8A"/>
    <w:rsid w:val="00224F31"/>
    <w:rsid w:val="0022633B"/>
    <w:rsid w:val="00226F9D"/>
    <w:rsid w:val="00230F4A"/>
    <w:rsid w:val="00231C72"/>
    <w:rsid w:val="002320C7"/>
    <w:rsid w:val="0023523A"/>
    <w:rsid w:val="00235E45"/>
    <w:rsid w:val="0023664F"/>
    <w:rsid w:val="002366EB"/>
    <w:rsid w:val="00236A4E"/>
    <w:rsid w:val="00236EB7"/>
    <w:rsid w:val="00237631"/>
    <w:rsid w:val="00237FDB"/>
    <w:rsid w:val="0024053C"/>
    <w:rsid w:val="0024338D"/>
    <w:rsid w:val="00243629"/>
    <w:rsid w:val="002436C1"/>
    <w:rsid w:val="00243788"/>
    <w:rsid w:val="00243DF5"/>
    <w:rsid w:val="002441BB"/>
    <w:rsid w:val="00244459"/>
    <w:rsid w:val="00245106"/>
    <w:rsid w:val="00245D03"/>
    <w:rsid w:val="0024688C"/>
    <w:rsid w:val="00247A7D"/>
    <w:rsid w:val="00250DAF"/>
    <w:rsid w:val="0025150E"/>
    <w:rsid w:val="0025215F"/>
    <w:rsid w:val="00252B51"/>
    <w:rsid w:val="00252FF1"/>
    <w:rsid w:val="00253264"/>
    <w:rsid w:val="00253997"/>
    <w:rsid w:val="00253A8D"/>
    <w:rsid w:val="0025423C"/>
    <w:rsid w:val="00254A3C"/>
    <w:rsid w:val="00254A8B"/>
    <w:rsid w:val="00254B4A"/>
    <w:rsid w:val="00255254"/>
    <w:rsid w:val="00256E57"/>
    <w:rsid w:val="0025744E"/>
    <w:rsid w:val="00262060"/>
    <w:rsid w:val="00264A42"/>
    <w:rsid w:val="00265E97"/>
    <w:rsid w:val="0026641B"/>
    <w:rsid w:val="0026713D"/>
    <w:rsid w:val="002672C8"/>
    <w:rsid w:val="00267CC6"/>
    <w:rsid w:val="00270665"/>
    <w:rsid w:val="002723A5"/>
    <w:rsid w:val="00272B03"/>
    <w:rsid w:val="00272C53"/>
    <w:rsid w:val="00272E20"/>
    <w:rsid w:val="00273681"/>
    <w:rsid w:val="00274587"/>
    <w:rsid w:val="0027510A"/>
    <w:rsid w:val="00276883"/>
    <w:rsid w:val="00276B00"/>
    <w:rsid w:val="002770C9"/>
    <w:rsid w:val="00277C1F"/>
    <w:rsid w:val="00280589"/>
    <w:rsid w:val="00281EF2"/>
    <w:rsid w:val="002821D7"/>
    <w:rsid w:val="00282E61"/>
    <w:rsid w:val="00282F20"/>
    <w:rsid w:val="00282F5C"/>
    <w:rsid w:val="002835E9"/>
    <w:rsid w:val="00283E39"/>
    <w:rsid w:val="00286571"/>
    <w:rsid w:val="00286A20"/>
    <w:rsid w:val="00287B11"/>
    <w:rsid w:val="0029004F"/>
    <w:rsid w:val="00291B4A"/>
    <w:rsid w:val="00291B84"/>
    <w:rsid w:val="00291C31"/>
    <w:rsid w:val="00292B5E"/>
    <w:rsid w:val="002932FC"/>
    <w:rsid w:val="00293A89"/>
    <w:rsid w:val="00293FBC"/>
    <w:rsid w:val="00294431"/>
    <w:rsid w:val="00294B49"/>
    <w:rsid w:val="00295538"/>
    <w:rsid w:val="00297034"/>
    <w:rsid w:val="002A2202"/>
    <w:rsid w:val="002A23E0"/>
    <w:rsid w:val="002A2E20"/>
    <w:rsid w:val="002A32DF"/>
    <w:rsid w:val="002A336C"/>
    <w:rsid w:val="002A4DD2"/>
    <w:rsid w:val="002A5B1C"/>
    <w:rsid w:val="002A7DF5"/>
    <w:rsid w:val="002A7E94"/>
    <w:rsid w:val="002B0795"/>
    <w:rsid w:val="002B082C"/>
    <w:rsid w:val="002B1D8F"/>
    <w:rsid w:val="002B2620"/>
    <w:rsid w:val="002B313B"/>
    <w:rsid w:val="002B3225"/>
    <w:rsid w:val="002B3AAF"/>
    <w:rsid w:val="002B5694"/>
    <w:rsid w:val="002B5A73"/>
    <w:rsid w:val="002B6012"/>
    <w:rsid w:val="002B73E8"/>
    <w:rsid w:val="002B7DD3"/>
    <w:rsid w:val="002C021F"/>
    <w:rsid w:val="002C108C"/>
    <w:rsid w:val="002C10DD"/>
    <w:rsid w:val="002C1C8A"/>
    <w:rsid w:val="002C2056"/>
    <w:rsid w:val="002C23F7"/>
    <w:rsid w:val="002C3367"/>
    <w:rsid w:val="002C5770"/>
    <w:rsid w:val="002C608B"/>
    <w:rsid w:val="002C68E0"/>
    <w:rsid w:val="002C7CB4"/>
    <w:rsid w:val="002C7E29"/>
    <w:rsid w:val="002D2324"/>
    <w:rsid w:val="002D29FD"/>
    <w:rsid w:val="002D2A0A"/>
    <w:rsid w:val="002D2AEC"/>
    <w:rsid w:val="002D2C1F"/>
    <w:rsid w:val="002D2EE2"/>
    <w:rsid w:val="002D4E9A"/>
    <w:rsid w:val="002E0399"/>
    <w:rsid w:val="002E05A6"/>
    <w:rsid w:val="002E1111"/>
    <w:rsid w:val="002E1382"/>
    <w:rsid w:val="002E4764"/>
    <w:rsid w:val="002E6F55"/>
    <w:rsid w:val="002F04F7"/>
    <w:rsid w:val="002F0E4E"/>
    <w:rsid w:val="002F1300"/>
    <w:rsid w:val="002F344B"/>
    <w:rsid w:val="002F38F0"/>
    <w:rsid w:val="002F530E"/>
    <w:rsid w:val="002F582F"/>
    <w:rsid w:val="002F6206"/>
    <w:rsid w:val="002F709A"/>
    <w:rsid w:val="002F77A8"/>
    <w:rsid w:val="002F7F72"/>
    <w:rsid w:val="00301619"/>
    <w:rsid w:val="00301AD3"/>
    <w:rsid w:val="00302755"/>
    <w:rsid w:val="003038BD"/>
    <w:rsid w:val="00303C11"/>
    <w:rsid w:val="00304C13"/>
    <w:rsid w:val="003055CF"/>
    <w:rsid w:val="00305A15"/>
    <w:rsid w:val="00306353"/>
    <w:rsid w:val="00306D41"/>
    <w:rsid w:val="00307094"/>
    <w:rsid w:val="00307342"/>
    <w:rsid w:val="00310272"/>
    <w:rsid w:val="00310A72"/>
    <w:rsid w:val="00311C18"/>
    <w:rsid w:val="0031298C"/>
    <w:rsid w:val="0031385E"/>
    <w:rsid w:val="00313D52"/>
    <w:rsid w:val="00314235"/>
    <w:rsid w:val="003210D3"/>
    <w:rsid w:val="0032273F"/>
    <w:rsid w:val="00322BC7"/>
    <w:rsid w:val="00324E2B"/>
    <w:rsid w:val="003259F5"/>
    <w:rsid w:val="0032607C"/>
    <w:rsid w:val="00326E7B"/>
    <w:rsid w:val="003271C0"/>
    <w:rsid w:val="0033166C"/>
    <w:rsid w:val="00331675"/>
    <w:rsid w:val="0033358A"/>
    <w:rsid w:val="003342B8"/>
    <w:rsid w:val="00334733"/>
    <w:rsid w:val="0033504B"/>
    <w:rsid w:val="003362C7"/>
    <w:rsid w:val="00336A5A"/>
    <w:rsid w:val="00337787"/>
    <w:rsid w:val="00337AA0"/>
    <w:rsid w:val="00340469"/>
    <w:rsid w:val="00340C96"/>
    <w:rsid w:val="00340F90"/>
    <w:rsid w:val="00342ADB"/>
    <w:rsid w:val="00342B49"/>
    <w:rsid w:val="00343B0F"/>
    <w:rsid w:val="00346888"/>
    <w:rsid w:val="00346AC5"/>
    <w:rsid w:val="00347006"/>
    <w:rsid w:val="00347C86"/>
    <w:rsid w:val="00347D0D"/>
    <w:rsid w:val="003503AE"/>
    <w:rsid w:val="00351D8C"/>
    <w:rsid w:val="0035213A"/>
    <w:rsid w:val="00352C28"/>
    <w:rsid w:val="003532BE"/>
    <w:rsid w:val="00353419"/>
    <w:rsid w:val="00355122"/>
    <w:rsid w:val="00355D35"/>
    <w:rsid w:val="00356370"/>
    <w:rsid w:val="00360094"/>
    <w:rsid w:val="003610D6"/>
    <w:rsid w:val="00361313"/>
    <w:rsid w:val="00361E69"/>
    <w:rsid w:val="003627FB"/>
    <w:rsid w:val="00362826"/>
    <w:rsid w:val="0036403D"/>
    <w:rsid w:val="0036455C"/>
    <w:rsid w:val="0036520F"/>
    <w:rsid w:val="00366074"/>
    <w:rsid w:val="003668B4"/>
    <w:rsid w:val="00367122"/>
    <w:rsid w:val="003671A1"/>
    <w:rsid w:val="003674CC"/>
    <w:rsid w:val="003702CE"/>
    <w:rsid w:val="0037083D"/>
    <w:rsid w:val="00371CEE"/>
    <w:rsid w:val="00372402"/>
    <w:rsid w:val="003725B4"/>
    <w:rsid w:val="003726C4"/>
    <w:rsid w:val="003750B3"/>
    <w:rsid w:val="00375BEB"/>
    <w:rsid w:val="003767BD"/>
    <w:rsid w:val="00376909"/>
    <w:rsid w:val="003771CC"/>
    <w:rsid w:val="003800B4"/>
    <w:rsid w:val="003809E0"/>
    <w:rsid w:val="003814E2"/>
    <w:rsid w:val="00381AF1"/>
    <w:rsid w:val="00381E88"/>
    <w:rsid w:val="003821F9"/>
    <w:rsid w:val="003827CD"/>
    <w:rsid w:val="00382CF4"/>
    <w:rsid w:val="00383A99"/>
    <w:rsid w:val="00383D6D"/>
    <w:rsid w:val="00384D3B"/>
    <w:rsid w:val="003852EF"/>
    <w:rsid w:val="0038584E"/>
    <w:rsid w:val="003870EE"/>
    <w:rsid w:val="00390863"/>
    <w:rsid w:val="00390C78"/>
    <w:rsid w:val="00393452"/>
    <w:rsid w:val="003939DB"/>
    <w:rsid w:val="003949C1"/>
    <w:rsid w:val="00394C2C"/>
    <w:rsid w:val="00395C1B"/>
    <w:rsid w:val="0039628E"/>
    <w:rsid w:val="00396F85"/>
    <w:rsid w:val="0039723A"/>
    <w:rsid w:val="003A089D"/>
    <w:rsid w:val="003A1CB9"/>
    <w:rsid w:val="003A27B8"/>
    <w:rsid w:val="003A2D89"/>
    <w:rsid w:val="003A3465"/>
    <w:rsid w:val="003A3D8C"/>
    <w:rsid w:val="003A3F39"/>
    <w:rsid w:val="003A44A8"/>
    <w:rsid w:val="003A45DA"/>
    <w:rsid w:val="003A539D"/>
    <w:rsid w:val="003A547A"/>
    <w:rsid w:val="003A5FA1"/>
    <w:rsid w:val="003A689D"/>
    <w:rsid w:val="003A7623"/>
    <w:rsid w:val="003B1B0A"/>
    <w:rsid w:val="003B26C5"/>
    <w:rsid w:val="003B3212"/>
    <w:rsid w:val="003B324C"/>
    <w:rsid w:val="003B6220"/>
    <w:rsid w:val="003B67D8"/>
    <w:rsid w:val="003B7083"/>
    <w:rsid w:val="003B76DC"/>
    <w:rsid w:val="003C1A98"/>
    <w:rsid w:val="003C1CC0"/>
    <w:rsid w:val="003C1E93"/>
    <w:rsid w:val="003C2547"/>
    <w:rsid w:val="003C2CED"/>
    <w:rsid w:val="003C3063"/>
    <w:rsid w:val="003C34D7"/>
    <w:rsid w:val="003C5489"/>
    <w:rsid w:val="003C54C5"/>
    <w:rsid w:val="003C596C"/>
    <w:rsid w:val="003C67DF"/>
    <w:rsid w:val="003C6A84"/>
    <w:rsid w:val="003C6E5E"/>
    <w:rsid w:val="003C7620"/>
    <w:rsid w:val="003D03AF"/>
    <w:rsid w:val="003D07CA"/>
    <w:rsid w:val="003D1EF9"/>
    <w:rsid w:val="003D1FE5"/>
    <w:rsid w:val="003D3735"/>
    <w:rsid w:val="003D3782"/>
    <w:rsid w:val="003D4868"/>
    <w:rsid w:val="003D4EF5"/>
    <w:rsid w:val="003D5148"/>
    <w:rsid w:val="003D5BCE"/>
    <w:rsid w:val="003D5C90"/>
    <w:rsid w:val="003D6081"/>
    <w:rsid w:val="003D6720"/>
    <w:rsid w:val="003D6B3F"/>
    <w:rsid w:val="003D74C0"/>
    <w:rsid w:val="003D7951"/>
    <w:rsid w:val="003D7E66"/>
    <w:rsid w:val="003E030F"/>
    <w:rsid w:val="003E07CF"/>
    <w:rsid w:val="003E122A"/>
    <w:rsid w:val="003E1EFB"/>
    <w:rsid w:val="003E2B26"/>
    <w:rsid w:val="003E4299"/>
    <w:rsid w:val="003E4849"/>
    <w:rsid w:val="003E53A3"/>
    <w:rsid w:val="003E70B9"/>
    <w:rsid w:val="003E7812"/>
    <w:rsid w:val="003F0B24"/>
    <w:rsid w:val="003F10FB"/>
    <w:rsid w:val="003F2136"/>
    <w:rsid w:val="003F277A"/>
    <w:rsid w:val="003F31E6"/>
    <w:rsid w:val="003F32FE"/>
    <w:rsid w:val="003F40F9"/>
    <w:rsid w:val="003F46B1"/>
    <w:rsid w:val="003F490A"/>
    <w:rsid w:val="003F4C40"/>
    <w:rsid w:val="003F52FE"/>
    <w:rsid w:val="003F580D"/>
    <w:rsid w:val="003F61D7"/>
    <w:rsid w:val="00401ECB"/>
    <w:rsid w:val="00401F3A"/>
    <w:rsid w:val="004024F2"/>
    <w:rsid w:val="0040272E"/>
    <w:rsid w:val="00402EA0"/>
    <w:rsid w:val="00404196"/>
    <w:rsid w:val="004041C9"/>
    <w:rsid w:val="00404615"/>
    <w:rsid w:val="004079CC"/>
    <w:rsid w:val="004106A7"/>
    <w:rsid w:val="004108D9"/>
    <w:rsid w:val="00411174"/>
    <w:rsid w:val="00412823"/>
    <w:rsid w:val="0041382E"/>
    <w:rsid w:val="0041385F"/>
    <w:rsid w:val="00413D00"/>
    <w:rsid w:val="00414410"/>
    <w:rsid w:val="00414992"/>
    <w:rsid w:val="004149A1"/>
    <w:rsid w:val="004153ED"/>
    <w:rsid w:val="00415B87"/>
    <w:rsid w:val="00416ED0"/>
    <w:rsid w:val="004175B0"/>
    <w:rsid w:val="00421C9B"/>
    <w:rsid w:val="00421ED6"/>
    <w:rsid w:val="00426041"/>
    <w:rsid w:val="00426CBC"/>
    <w:rsid w:val="0043002F"/>
    <w:rsid w:val="004303B3"/>
    <w:rsid w:val="00430927"/>
    <w:rsid w:val="00430E35"/>
    <w:rsid w:val="0043308A"/>
    <w:rsid w:val="00433113"/>
    <w:rsid w:val="0043449C"/>
    <w:rsid w:val="00435D6C"/>
    <w:rsid w:val="00436036"/>
    <w:rsid w:val="0043673C"/>
    <w:rsid w:val="00437DA0"/>
    <w:rsid w:val="004412CE"/>
    <w:rsid w:val="00442603"/>
    <w:rsid w:val="0044335F"/>
    <w:rsid w:val="0044374B"/>
    <w:rsid w:val="004440FE"/>
    <w:rsid w:val="00444898"/>
    <w:rsid w:val="00444DED"/>
    <w:rsid w:val="004451D0"/>
    <w:rsid w:val="004453E6"/>
    <w:rsid w:val="00445E88"/>
    <w:rsid w:val="00446442"/>
    <w:rsid w:val="00447705"/>
    <w:rsid w:val="0044779E"/>
    <w:rsid w:val="00447FF9"/>
    <w:rsid w:val="00450F19"/>
    <w:rsid w:val="00452139"/>
    <w:rsid w:val="00453254"/>
    <w:rsid w:val="00453451"/>
    <w:rsid w:val="0045366F"/>
    <w:rsid w:val="00453F4D"/>
    <w:rsid w:val="00454E59"/>
    <w:rsid w:val="00455D49"/>
    <w:rsid w:val="00455DF1"/>
    <w:rsid w:val="00460877"/>
    <w:rsid w:val="00460F22"/>
    <w:rsid w:val="00461254"/>
    <w:rsid w:val="00461AED"/>
    <w:rsid w:val="004629B2"/>
    <w:rsid w:val="0046446A"/>
    <w:rsid w:val="004645D0"/>
    <w:rsid w:val="00464A97"/>
    <w:rsid w:val="00464FA6"/>
    <w:rsid w:val="004651E5"/>
    <w:rsid w:val="00465465"/>
    <w:rsid w:val="00466C27"/>
    <w:rsid w:val="00466C43"/>
    <w:rsid w:val="004676E4"/>
    <w:rsid w:val="0046796E"/>
    <w:rsid w:val="004707EC"/>
    <w:rsid w:val="00470F11"/>
    <w:rsid w:val="004716FE"/>
    <w:rsid w:val="0047173F"/>
    <w:rsid w:val="004720EA"/>
    <w:rsid w:val="004722FE"/>
    <w:rsid w:val="00472A2C"/>
    <w:rsid w:val="004739B2"/>
    <w:rsid w:val="00473C24"/>
    <w:rsid w:val="00474178"/>
    <w:rsid w:val="0047530A"/>
    <w:rsid w:val="004761F8"/>
    <w:rsid w:val="0047624F"/>
    <w:rsid w:val="00476551"/>
    <w:rsid w:val="00476764"/>
    <w:rsid w:val="00477506"/>
    <w:rsid w:val="004776A2"/>
    <w:rsid w:val="00477994"/>
    <w:rsid w:val="0048034F"/>
    <w:rsid w:val="00480D0C"/>
    <w:rsid w:val="00480ED0"/>
    <w:rsid w:val="004814DE"/>
    <w:rsid w:val="00481CB0"/>
    <w:rsid w:val="00482CC2"/>
    <w:rsid w:val="004835E4"/>
    <w:rsid w:val="0048481D"/>
    <w:rsid w:val="00484B5C"/>
    <w:rsid w:val="00484CF0"/>
    <w:rsid w:val="004856F7"/>
    <w:rsid w:val="004858BF"/>
    <w:rsid w:val="00486C77"/>
    <w:rsid w:val="00487169"/>
    <w:rsid w:val="00487EBB"/>
    <w:rsid w:val="00490284"/>
    <w:rsid w:val="0049042D"/>
    <w:rsid w:val="00490539"/>
    <w:rsid w:val="004907EE"/>
    <w:rsid w:val="004910C2"/>
    <w:rsid w:val="00491342"/>
    <w:rsid w:val="00491B25"/>
    <w:rsid w:val="00491FCB"/>
    <w:rsid w:val="004925DF"/>
    <w:rsid w:val="0049261E"/>
    <w:rsid w:val="004929D1"/>
    <w:rsid w:val="004939CA"/>
    <w:rsid w:val="00497627"/>
    <w:rsid w:val="00497D5C"/>
    <w:rsid w:val="004A0025"/>
    <w:rsid w:val="004A11E1"/>
    <w:rsid w:val="004A1C66"/>
    <w:rsid w:val="004A243A"/>
    <w:rsid w:val="004A2756"/>
    <w:rsid w:val="004A2D4F"/>
    <w:rsid w:val="004A3CDA"/>
    <w:rsid w:val="004A43DB"/>
    <w:rsid w:val="004A49CD"/>
    <w:rsid w:val="004A4AED"/>
    <w:rsid w:val="004A5659"/>
    <w:rsid w:val="004A58D1"/>
    <w:rsid w:val="004A5E88"/>
    <w:rsid w:val="004A65C0"/>
    <w:rsid w:val="004A6C11"/>
    <w:rsid w:val="004B07AF"/>
    <w:rsid w:val="004B1BA9"/>
    <w:rsid w:val="004B1E66"/>
    <w:rsid w:val="004B25F5"/>
    <w:rsid w:val="004B3028"/>
    <w:rsid w:val="004B4001"/>
    <w:rsid w:val="004B4B39"/>
    <w:rsid w:val="004B4F6D"/>
    <w:rsid w:val="004B4FB9"/>
    <w:rsid w:val="004B6EA9"/>
    <w:rsid w:val="004B7272"/>
    <w:rsid w:val="004B735F"/>
    <w:rsid w:val="004B77FF"/>
    <w:rsid w:val="004C0F0C"/>
    <w:rsid w:val="004C1242"/>
    <w:rsid w:val="004C12D2"/>
    <w:rsid w:val="004C1C90"/>
    <w:rsid w:val="004C38D6"/>
    <w:rsid w:val="004C49FA"/>
    <w:rsid w:val="004C4C9B"/>
    <w:rsid w:val="004C51CB"/>
    <w:rsid w:val="004C715E"/>
    <w:rsid w:val="004C74F5"/>
    <w:rsid w:val="004C7C47"/>
    <w:rsid w:val="004D0388"/>
    <w:rsid w:val="004D0478"/>
    <w:rsid w:val="004D0A93"/>
    <w:rsid w:val="004D1250"/>
    <w:rsid w:val="004D1414"/>
    <w:rsid w:val="004D20F5"/>
    <w:rsid w:val="004D2EC3"/>
    <w:rsid w:val="004D34DD"/>
    <w:rsid w:val="004D382B"/>
    <w:rsid w:val="004D3B10"/>
    <w:rsid w:val="004D4F53"/>
    <w:rsid w:val="004D5F3E"/>
    <w:rsid w:val="004D6E8F"/>
    <w:rsid w:val="004D73A7"/>
    <w:rsid w:val="004D7BA3"/>
    <w:rsid w:val="004E17BA"/>
    <w:rsid w:val="004E2439"/>
    <w:rsid w:val="004E3B45"/>
    <w:rsid w:val="004E3C6A"/>
    <w:rsid w:val="004E645B"/>
    <w:rsid w:val="004E6AF7"/>
    <w:rsid w:val="004F0EEA"/>
    <w:rsid w:val="004F1976"/>
    <w:rsid w:val="004F20D7"/>
    <w:rsid w:val="004F23A8"/>
    <w:rsid w:val="004F3AC9"/>
    <w:rsid w:val="004F3E60"/>
    <w:rsid w:val="004F41B3"/>
    <w:rsid w:val="004F45C3"/>
    <w:rsid w:val="004F46F0"/>
    <w:rsid w:val="004F4F78"/>
    <w:rsid w:val="004F55EC"/>
    <w:rsid w:val="004F64C1"/>
    <w:rsid w:val="004F6903"/>
    <w:rsid w:val="00500753"/>
    <w:rsid w:val="005012FC"/>
    <w:rsid w:val="005013A2"/>
    <w:rsid w:val="0050227A"/>
    <w:rsid w:val="005027E9"/>
    <w:rsid w:val="00502885"/>
    <w:rsid w:val="0050386F"/>
    <w:rsid w:val="00504709"/>
    <w:rsid w:val="005059A6"/>
    <w:rsid w:val="00505B87"/>
    <w:rsid w:val="00507959"/>
    <w:rsid w:val="00507BAE"/>
    <w:rsid w:val="00510205"/>
    <w:rsid w:val="00510526"/>
    <w:rsid w:val="00510823"/>
    <w:rsid w:val="00510B1C"/>
    <w:rsid w:val="0051208D"/>
    <w:rsid w:val="00512FB1"/>
    <w:rsid w:val="005142C9"/>
    <w:rsid w:val="00514531"/>
    <w:rsid w:val="005152A4"/>
    <w:rsid w:val="00515789"/>
    <w:rsid w:val="00516DA1"/>
    <w:rsid w:val="005201F1"/>
    <w:rsid w:val="00520ACC"/>
    <w:rsid w:val="00520B0B"/>
    <w:rsid w:val="00520DB0"/>
    <w:rsid w:val="005212D4"/>
    <w:rsid w:val="005212DC"/>
    <w:rsid w:val="0052145D"/>
    <w:rsid w:val="00523EAC"/>
    <w:rsid w:val="0052415B"/>
    <w:rsid w:val="00524AF2"/>
    <w:rsid w:val="005266CB"/>
    <w:rsid w:val="00527342"/>
    <w:rsid w:val="005278A2"/>
    <w:rsid w:val="005278DA"/>
    <w:rsid w:val="00527FBD"/>
    <w:rsid w:val="00527FBE"/>
    <w:rsid w:val="005300C9"/>
    <w:rsid w:val="005303CB"/>
    <w:rsid w:val="0053069A"/>
    <w:rsid w:val="005308B0"/>
    <w:rsid w:val="005315BB"/>
    <w:rsid w:val="00533CBF"/>
    <w:rsid w:val="0053444E"/>
    <w:rsid w:val="00534CE2"/>
    <w:rsid w:val="00534DA6"/>
    <w:rsid w:val="0053510C"/>
    <w:rsid w:val="00535339"/>
    <w:rsid w:val="005362B4"/>
    <w:rsid w:val="0053633A"/>
    <w:rsid w:val="005369FC"/>
    <w:rsid w:val="0053720E"/>
    <w:rsid w:val="005373C3"/>
    <w:rsid w:val="005400DC"/>
    <w:rsid w:val="00540C57"/>
    <w:rsid w:val="00542434"/>
    <w:rsid w:val="00542CCA"/>
    <w:rsid w:val="0054309D"/>
    <w:rsid w:val="00543141"/>
    <w:rsid w:val="005436F3"/>
    <w:rsid w:val="00543E57"/>
    <w:rsid w:val="00544082"/>
    <w:rsid w:val="00544451"/>
    <w:rsid w:val="005449D5"/>
    <w:rsid w:val="00544A6C"/>
    <w:rsid w:val="00544CC2"/>
    <w:rsid w:val="005450C7"/>
    <w:rsid w:val="00545396"/>
    <w:rsid w:val="005466A7"/>
    <w:rsid w:val="00547E55"/>
    <w:rsid w:val="00551427"/>
    <w:rsid w:val="00551C0A"/>
    <w:rsid w:val="0055251B"/>
    <w:rsid w:val="005532BD"/>
    <w:rsid w:val="00553481"/>
    <w:rsid w:val="00553D14"/>
    <w:rsid w:val="00554430"/>
    <w:rsid w:val="0055650D"/>
    <w:rsid w:val="0055740A"/>
    <w:rsid w:val="00560551"/>
    <w:rsid w:val="00560C1D"/>
    <w:rsid w:val="005616BB"/>
    <w:rsid w:val="00561D8C"/>
    <w:rsid w:val="00561FE9"/>
    <w:rsid w:val="005625AE"/>
    <w:rsid w:val="00562804"/>
    <w:rsid w:val="00564F46"/>
    <w:rsid w:val="00565828"/>
    <w:rsid w:val="005659B2"/>
    <w:rsid w:val="005661FD"/>
    <w:rsid w:val="00566CB6"/>
    <w:rsid w:val="00566F54"/>
    <w:rsid w:val="00567077"/>
    <w:rsid w:val="00567AAC"/>
    <w:rsid w:val="00570B5D"/>
    <w:rsid w:val="00570E1D"/>
    <w:rsid w:val="00571C2C"/>
    <w:rsid w:val="00572545"/>
    <w:rsid w:val="00572A2F"/>
    <w:rsid w:val="00572C28"/>
    <w:rsid w:val="00572D91"/>
    <w:rsid w:val="00574893"/>
    <w:rsid w:val="00574A2E"/>
    <w:rsid w:val="00575E03"/>
    <w:rsid w:val="00576A7C"/>
    <w:rsid w:val="00576B9E"/>
    <w:rsid w:val="00577555"/>
    <w:rsid w:val="005775A5"/>
    <w:rsid w:val="0057778D"/>
    <w:rsid w:val="00577DAB"/>
    <w:rsid w:val="005803F4"/>
    <w:rsid w:val="005803FA"/>
    <w:rsid w:val="00581ABA"/>
    <w:rsid w:val="00581E78"/>
    <w:rsid w:val="005821D1"/>
    <w:rsid w:val="005839FA"/>
    <w:rsid w:val="00583A5E"/>
    <w:rsid w:val="0058555A"/>
    <w:rsid w:val="00587BF7"/>
    <w:rsid w:val="005900ED"/>
    <w:rsid w:val="0059032F"/>
    <w:rsid w:val="00590CD8"/>
    <w:rsid w:val="00593310"/>
    <w:rsid w:val="005935C1"/>
    <w:rsid w:val="0059440A"/>
    <w:rsid w:val="00595C4D"/>
    <w:rsid w:val="00596453"/>
    <w:rsid w:val="0059742D"/>
    <w:rsid w:val="00597498"/>
    <w:rsid w:val="0059767A"/>
    <w:rsid w:val="00597A5A"/>
    <w:rsid w:val="005A0EB9"/>
    <w:rsid w:val="005A1F05"/>
    <w:rsid w:val="005A2E37"/>
    <w:rsid w:val="005A3505"/>
    <w:rsid w:val="005A4B7D"/>
    <w:rsid w:val="005A4D2A"/>
    <w:rsid w:val="005A6007"/>
    <w:rsid w:val="005A6752"/>
    <w:rsid w:val="005A6DE4"/>
    <w:rsid w:val="005A7236"/>
    <w:rsid w:val="005A7DF5"/>
    <w:rsid w:val="005B08B3"/>
    <w:rsid w:val="005B0F07"/>
    <w:rsid w:val="005B16D7"/>
    <w:rsid w:val="005B1722"/>
    <w:rsid w:val="005B1B26"/>
    <w:rsid w:val="005B1BB5"/>
    <w:rsid w:val="005B2156"/>
    <w:rsid w:val="005B27D1"/>
    <w:rsid w:val="005B3AC2"/>
    <w:rsid w:val="005B3DCC"/>
    <w:rsid w:val="005B4027"/>
    <w:rsid w:val="005B62FA"/>
    <w:rsid w:val="005B6576"/>
    <w:rsid w:val="005B6DB4"/>
    <w:rsid w:val="005B7000"/>
    <w:rsid w:val="005C09F1"/>
    <w:rsid w:val="005C1CF3"/>
    <w:rsid w:val="005C1D7C"/>
    <w:rsid w:val="005C27DE"/>
    <w:rsid w:val="005C37A8"/>
    <w:rsid w:val="005C3B0D"/>
    <w:rsid w:val="005C4B2D"/>
    <w:rsid w:val="005C56DE"/>
    <w:rsid w:val="005C5BC2"/>
    <w:rsid w:val="005C60F8"/>
    <w:rsid w:val="005C6C75"/>
    <w:rsid w:val="005C72E9"/>
    <w:rsid w:val="005C730F"/>
    <w:rsid w:val="005C79F4"/>
    <w:rsid w:val="005C7D63"/>
    <w:rsid w:val="005D0660"/>
    <w:rsid w:val="005D06E7"/>
    <w:rsid w:val="005D38CB"/>
    <w:rsid w:val="005D4D03"/>
    <w:rsid w:val="005D5292"/>
    <w:rsid w:val="005D5470"/>
    <w:rsid w:val="005D637B"/>
    <w:rsid w:val="005D6C7B"/>
    <w:rsid w:val="005D74B8"/>
    <w:rsid w:val="005D7D92"/>
    <w:rsid w:val="005E14F6"/>
    <w:rsid w:val="005E162C"/>
    <w:rsid w:val="005E26A1"/>
    <w:rsid w:val="005E2D33"/>
    <w:rsid w:val="005E3D2C"/>
    <w:rsid w:val="005E494F"/>
    <w:rsid w:val="005E4DEC"/>
    <w:rsid w:val="005E5312"/>
    <w:rsid w:val="005E588E"/>
    <w:rsid w:val="005E5F0F"/>
    <w:rsid w:val="005E6A52"/>
    <w:rsid w:val="005F0E22"/>
    <w:rsid w:val="005F15EA"/>
    <w:rsid w:val="005F1604"/>
    <w:rsid w:val="005F24F4"/>
    <w:rsid w:val="005F2903"/>
    <w:rsid w:val="005F31D7"/>
    <w:rsid w:val="005F3AA3"/>
    <w:rsid w:val="005F537F"/>
    <w:rsid w:val="005F7D07"/>
    <w:rsid w:val="005F7F0E"/>
    <w:rsid w:val="0060020D"/>
    <w:rsid w:val="006012D4"/>
    <w:rsid w:val="00602794"/>
    <w:rsid w:val="00604045"/>
    <w:rsid w:val="00604135"/>
    <w:rsid w:val="006058CB"/>
    <w:rsid w:val="0060650C"/>
    <w:rsid w:val="00606A32"/>
    <w:rsid w:val="0060733C"/>
    <w:rsid w:val="00607AE7"/>
    <w:rsid w:val="00610268"/>
    <w:rsid w:val="0061140B"/>
    <w:rsid w:val="00612945"/>
    <w:rsid w:val="00612DC2"/>
    <w:rsid w:val="00612DF2"/>
    <w:rsid w:val="00613453"/>
    <w:rsid w:val="00613CCF"/>
    <w:rsid w:val="00613EA8"/>
    <w:rsid w:val="00614271"/>
    <w:rsid w:val="0061470B"/>
    <w:rsid w:val="0061553E"/>
    <w:rsid w:val="0061636B"/>
    <w:rsid w:val="00616AE1"/>
    <w:rsid w:val="00617F6B"/>
    <w:rsid w:val="0062048C"/>
    <w:rsid w:val="00620561"/>
    <w:rsid w:val="0062067C"/>
    <w:rsid w:val="006214AD"/>
    <w:rsid w:val="00622E66"/>
    <w:rsid w:val="0062346A"/>
    <w:rsid w:val="006235C4"/>
    <w:rsid w:val="00624A82"/>
    <w:rsid w:val="00625592"/>
    <w:rsid w:val="00625863"/>
    <w:rsid w:val="00625F67"/>
    <w:rsid w:val="006260E5"/>
    <w:rsid w:val="006263FF"/>
    <w:rsid w:val="00627B69"/>
    <w:rsid w:val="0063129D"/>
    <w:rsid w:val="006316F1"/>
    <w:rsid w:val="006324A1"/>
    <w:rsid w:val="00633754"/>
    <w:rsid w:val="00634BCD"/>
    <w:rsid w:val="00634D59"/>
    <w:rsid w:val="00635E85"/>
    <w:rsid w:val="00636406"/>
    <w:rsid w:val="00637091"/>
    <w:rsid w:val="006371FF"/>
    <w:rsid w:val="0064065F"/>
    <w:rsid w:val="00641C39"/>
    <w:rsid w:val="00642014"/>
    <w:rsid w:val="0064299A"/>
    <w:rsid w:val="00642F52"/>
    <w:rsid w:val="00643716"/>
    <w:rsid w:val="00644A75"/>
    <w:rsid w:val="006472A0"/>
    <w:rsid w:val="00650DAE"/>
    <w:rsid w:val="00651512"/>
    <w:rsid w:val="006521F3"/>
    <w:rsid w:val="00653E20"/>
    <w:rsid w:val="00654956"/>
    <w:rsid w:val="00654DE7"/>
    <w:rsid w:val="0065533C"/>
    <w:rsid w:val="00656A9D"/>
    <w:rsid w:val="00656F5E"/>
    <w:rsid w:val="00661486"/>
    <w:rsid w:val="00662CBC"/>
    <w:rsid w:val="006661F1"/>
    <w:rsid w:val="006661F5"/>
    <w:rsid w:val="00666AAB"/>
    <w:rsid w:val="0067038D"/>
    <w:rsid w:val="0067060C"/>
    <w:rsid w:val="00671A6A"/>
    <w:rsid w:val="006727C3"/>
    <w:rsid w:val="006729C0"/>
    <w:rsid w:val="00672EF8"/>
    <w:rsid w:val="00673DE0"/>
    <w:rsid w:val="00673F0C"/>
    <w:rsid w:val="00673F58"/>
    <w:rsid w:val="006742A1"/>
    <w:rsid w:val="00675DB3"/>
    <w:rsid w:val="00675E8A"/>
    <w:rsid w:val="00676A38"/>
    <w:rsid w:val="00680098"/>
    <w:rsid w:val="00680957"/>
    <w:rsid w:val="00682148"/>
    <w:rsid w:val="00686325"/>
    <w:rsid w:val="00686EC4"/>
    <w:rsid w:val="00687063"/>
    <w:rsid w:val="00687463"/>
    <w:rsid w:val="00687B92"/>
    <w:rsid w:val="00690D7A"/>
    <w:rsid w:val="00691425"/>
    <w:rsid w:val="006941F5"/>
    <w:rsid w:val="00695416"/>
    <w:rsid w:val="00695E17"/>
    <w:rsid w:val="00696763"/>
    <w:rsid w:val="0069734A"/>
    <w:rsid w:val="00697896"/>
    <w:rsid w:val="006A1349"/>
    <w:rsid w:val="006A139A"/>
    <w:rsid w:val="006A1939"/>
    <w:rsid w:val="006A1AA8"/>
    <w:rsid w:val="006A2DBA"/>
    <w:rsid w:val="006A2EC3"/>
    <w:rsid w:val="006A303A"/>
    <w:rsid w:val="006A414E"/>
    <w:rsid w:val="006A45A4"/>
    <w:rsid w:val="006A4CF2"/>
    <w:rsid w:val="006A6BB4"/>
    <w:rsid w:val="006B0367"/>
    <w:rsid w:val="006B04AC"/>
    <w:rsid w:val="006B147C"/>
    <w:rsid w:val="006B202A"/>
    <w:rsid w:val="006B296E"/>
    <w:rsid w:val="006B4802"/>
    <w:rsid w:val="006B4A11"/>
    <w:rsid w:val="006B5097"/>
    <w:rsid w:val="006B5516"/>
    <w:rsid w:val="006B5CD7"/>
    <w:rsid w:val="006B5D36"/>
    <w:rsid w:val="006B5E1C"/>
    <w:rsid w:val="006B65F9"/>
    <w:rsid w:val="006B6B45"/>
    <w:rsid w:val="006B75D1"/>
    <w:rsid w:val="006B7A09"/>
    <w:rsid w:val="006C07AB"/>
    <w:rsid w:val="006C42CE"/>
    <w:rsid w:val="006C5486"/>
    <w:rsid w:val="006C592D"/>
    <w:rsid w:val="006C5B7B"/>
    <w:rsid w:val="006C5F25"/>
    <w:rsid w:val="006C74B3"/>
    <w:rsid w:val="006D1D8F"/>
    <w:rsid w:val="006D302F"/>
    <w:rsid w:val="006D3791"/>
    <w:rsid w:val="006D3801"/>
    <w:rsid w:val="006D3D4A"/>
    <w:rsid w:val="006D3EDB"/>
    <w:rsid w:val="006D465F"/>
    <w:rsid w:val="006D50AA"/>
    <w:rsid w:val="006D67B8"/>
    <w:rsid w:val="006D7021"/>
    <w:rsid w:val="006D7209"/>
    <w:rsid w:val="006D7A98"/>
    <w:rsid w:val="006E11C9"/>
    <w:rsid w:val="006E19AC"/>
    <w:rsid w:val="006E1DB5"/>
    <w:rsid w:val="006E31AE"/>
    <w:rsid w:val="006E4984"/>
    <w:rsid w:val="006E5E71"/>
    <w:rsid w:val="006E6031"/>
    <w:rsid w:val="006E61F6"/>
    <w:rsid w:val="006E6C99"/>
    <w:rsid w:val="006F09E9"/>
    <w:rsid w:val="006F12AB"/>
    <w:rsid w:val="006F2895"/>
    <w:rsid w:val="006F32BF"/>
    <w:rsid w:val="006F3311"/>
    <w:rsid w:val="006F38F6"/>
    <w:rsid w:val="006F3989"/>
    <w:rsid w:val="006F4219"/>
    <w:rsid w:val="006F5694"/>
    <w:rsid w:val="006F575A"/>
    <w:rsid w:val="00700A73"/>
    <w:rsid w:val="007015E9"/>
    <w:rsid w:val="00701999"/>
    <w:rsid w:val="00702050"/>
    <w:rsid w:val="00702A10"/>
    <w:rsid w:val="00702F25"/>
    <w:rsid w:val="00703BC1"/>
    <w:rsid w:val="00704993"/>
    <w:rsid w:val="00704E19"/>
    <w:rsid w:val="00704ED8"/>
    <w:rsid w:val="0070601C"/>
    <w:rsid w:val="00707008"/>
    <w:rsid w:val="00707F81"/>
    <w:rsid w:val="00710993"/>
    <w:rsid w:val="00712884"/>
    <w:rsid w:val="00712CDA"/>
    <w:rsid w:val="00713C6D"/>
    <w:rsid w:val="00715090"/>
    <w:rsid w:val="00715379"/>
    <w:rsid w:val="00715606"/>
    <w:rsid w:val="0071587A"/>
    <w:rsid w:val="007159EB"/>
    <w:rsid w:val="00715DA9"/>
    <w:rsid w:val="007160E0"/>
    <w:rsid w:val="00716E3F"/>
    <w:rsid w:val="00717083"/>
    <w:rsid w:val="007176DE"/>
    <w:rsid w:val="00717DE7"/>
    <w:rsid w:val="00720629"/>
    <w:rsid w:val="007207AD"/>
    <w:rsid w:val="00720B16"/>
    <w:rsid w:val="007219C5"/>
    <w:rsid w:val="007223FC"/>
    <w:rsid w:val="00723E5F"/>
    <w:rsid w:val="00723FBC"/>
    <w:rsid w:val="007250A4"/>
    <w:rsid w:val="00725F23"/>
    <w:rsid w:val="007261C4"/>
    <w:rsid w:val="007267EB"/>
    <w:rsid w:val="00726A15"/>
    <w:rsid w:val="0072737A"/>
    <w:rsid w:val="00730159"/>
    <w:rsid w:val="00730C0D"/>
    <w:rsid w:val="00730DA4"/>
    <w:rsid w:val="0073129C"/>
    <w:rsid w:val="00731E0C"/>
    <w:rsid w:val="007339DB"/>
    <w:rsid w:val="00734F65"/>
    <w:rsid w:val="007356FC"/>
    <w:rsid w:val="00735CE3"/>
    <w:rsid w:val="0073608D"/>
    <w:rsid w:val="00736DAE"/>
    <w:rsid w:val="00740180"/>
    <w:rsid w:val="0074099C"/>
    <w:rsid w:val="0074101E"/>
    <w:rsid w:val="0074150A"/>
    <w:rsid w:val="00741FEC"/>
    <w:rsid w:val="007433D3"/>
    <w:rsid w:val="00743F1B"/>
    <w:rsid w:val="007441F6"/>
    <w:rsid w:val="0074430F"/>
    <w:rsid w:val="007448B9"/>
    <w:rsid w:val="00746100"/>
    <w:rsid w:val="007468E9"/>
    <w:rsid w:val="00746B9B"/>
    <w:rsid w:val="00746BED"/>
    <w:rsid w:val="00747D71"/>
    <w:rsid w:val="00750288"/>
    <w:rsid w:val="007508D6"/>
    <w:rsid w:val="00750C83"/>
    <w:rsid w:val="007512E0"/>
    <w:rsid w:val="00751BF1"/>
    <w:rsid w:val="007537F1"/>
    <w:rsid w:val="007538D7"/>
    <w:rsid w:val="00755016"/>
    <w:rsid w:val="007567FF"/>
    <w:rsid w:val="00756DA9"/>
    <w:rsid w:val="0075794D"/>
    <w:rsid w:val="00760537"/>
    <w:rsid w:val="007608C8"/>
    <w:rsid w:val="00761696"/>
    <w:rsid w:val="00761834"/>
    <w:rsid w:val="00761D56"/>
    <w:rsid w:val="00761E14"/>
    <w:rsid w:val="007620D8"/>
    <w:rsid w:val="007631A8"/>
    <w:rsid w:val="0076420A"/>
    <w:rsid w:val="00764576"/>
    <w:rsid w:val="0076492F"/>
    <w:rsid w:val="00764D0F"/>
    <w:rsid w:val="00764ED5"/>
    <w:rsid w:val="007658F8"/>
    <w:rsid w:val="007665AE"/>
    <w:rsid w:val="007665E7"/>
    <w:rsid w:val="0076696B"/>
    <w:rsid w:val="00767076"/>
    <w:rsid w:val="00770DFC"/>
    <w:rsid w:val="00771845"/>
    <w:rsid w:val="0077236E"/>
    <w:rsid w:val="00773845"/>
    <w:rsid w:val="00775282"/>
    <w:rsid w:val="0077605D"/>
    <w:rsid w:val="007768BA"/>
    <w:rsid w:val="007801FF"/>
    <w:rsid w:val="00780896"/>
    <w:rsid w:val="00780E48"/>
    <w:rsid w:val="00780FF2"/>
    <w:rsid w:val="007815A1"/>
    <w:rsid w:val="00783BF6"/>
    <w:rsid w:val="0078501F"/>
    <w:rsid w:val="00785229"/>
    <w:rsid w:val="00787684"/>
    <w:rsid w:val="00787AD0"/>
    <w:rsid w:val="0079186B"/>
    <w:rsid w:val="007919EE"/>
    <w:rsid w:val="007921AF"/>
    <w:rsid w:val="00792775"/>
    <w:rsid w:val="0079299C"/>
    <w:rsid w:val="00792F10"/>
    <w:rsid w:val="00793079"/>
    <w:rsid w:val="00793312"/>
    <w:rsid w:val="00793932"/>
    <w:rsid w:val="00793A91"/>
    <w:rsid w:val="00795191"/>
    <w:rsid w:val="00796A9E"/>
    <w:rsid w:val="00796F17"/>
    <w:rsid w:val="00797087"/>
    <w:rsid w:val="00797687"/>
    <w:rsid w:val="007A0BE3"/>
    <w:rsid w:val="007A0D7C"/>
    <w:rsid w:val="007A0D88"/>
    <w:rsid w:val="007A25AF"/>
    <w:rsid w:val="007A30A5"/>
    <w:rsid w:val="007A5FB9"/>
    <w:rsid w:val="007A601B"/>
    <w:rsid w:val="007A6073"/>
    <w:rsid w:val="007A70C6"/>
    <w:rsid w:val="007B0E23"/>
    <w:rsid w:val="007B0FA2"/>
    <w:rsid w:val="007B11D0"/>
    <w:rsid w:val="007B1CB5"/>
    <w:rsid w:val="007B27E9"/>
    <w:rsid w:val="007B2987"/>
    <w:rsid w:val="007B56C8"/>
    <w:rsid w:val="007B586D"/>
    <w:rsid w:val="007B661E"/>
    <w:rsid w:val="007B6A8F"/>
    <w:rsid w:val="007B70D3"/>
    <w:rsid w:val="007C0643"/>
    <w:rsid w:val="007C1116"/>
    <w:rsid w:val="007C1D7C"/>
    <w:rsid w:val="007C3AA6"/>
    <w:rsid w:val="007C4EF2"/>
    <w:rsid w:val="007C55D4"/>
    <w:rsid w:val="007D093F"/>
    <w:rsid w:val="007D0BE8"/>
    <w:rsid w:val="007D1508"/>
    <w:rsid w:val="007D36CA"/>
    <w:rsid w:val="007D415B"/>
    <w:rsid w:val="007D4C02"/>
    <w:rsid w:val="007D5920"/>
    <w:rsid w:val="007D6731"/>
    <w:rsid w:val="007D6837"/>
    <w:rsid w:val="007D689F"/>
    <w:rsid w:val="007D7001"/>
    <w:rsid w:val="007D7101"/>
    <w:rsid w:val="007D782F"/>
    <w:rsid w:val="007D7E87"/>
    <w:rsid w:val="007E10DA"/>
    <w:rsid w:val="007E1ECC"/>
    <w:rsid w:val="007E205F"/>
    <w:rsid w:val="007E2A09"/>
    <w:rsid w:val="007E3E49"/>
    <w:rsid w:val="007E40DD"/>
    <w:rsid w:val="007E4D5F"/>
    <w:rsid w:val="007E7C73"/>
    <w:rsid w:val="007F0225"/>
    <w:rsid w:val="007F0AC8"/>
    <w:rsid w:val="007F0CB1"/>
    <w:rsid w:val="007F10CE"/>
    <w:rsid w:val="007F167C"/>
    <w:rsid w:val="007F2066"/>
    <w:rsid w:val="007F2962"/>
    <w:rsid w:val="007F2B93"/>
    <w:rsid w:val="007F2E40"/>
    <w:rsid w:val="007F3367"/>
    <w:rsid w:val="007F37A4"/>
    <w:rsid w:val="007F3924"/>
    <w:rsid w:val="007F3AEC"/>
    <w:rsid w:val="007F4005"/>
    <w:rsid w:val="007F4093"/>
    <w:rsid w:val="007F4EA3"/>
    <w:rsid w:val="007F64E9"/>
    <w:rsid w:val="007F6A85"/>
    <w:rsid w:val="007F6E58"/>
    <w:rsid w:val="007F7EFE"/>
    <w:rsid w:val="00800A2A"/>
    <w:rsid w:val="0080100B"/>
    <w:rsid w:val="00802421"/>
    <w:rsid w:val="00802684"/>
    <w:rsid w:val="00803598"/>
    <w:rsid w:val="00803820"/>
    <w:rsid w:val="00804380"/>
    <w:rsid w:val="00804490"/>
    <w:rsid w:val="008049F3"/>
    <w:rsid w:val="00804D8E"/>
    <w:rsid w:val="00806B2A"/>
    <w:rsid w:val="00807DC3"/>
    <w:rsid w:val="008100E5"/>
    <w:rsid w:val="00810DA4"/>
    <w:rsid w:val="00810F17"/>
    <w:rsid w:val="00811731"/>
    <w:rsid w:val="00811D3C"/>
    <w:rsid w:val="0081266C"/>
    <w:rsid w:val="00812D6B"/>
    <w:rsid w:val="0081309B"/>
    <w:rsid w:val="00813597"/>
    <w:rsid w:val="008138AD"/>
    <w:rsid w:val="00814A29"/>
    <w:rsid w:val="00816657"/>
    <w:rsid w:val="00817FEF"/>
    <w:rsid w:val="00820486"/>
    <w:rsid w:val="008207D6"/>
    <w:rsid w:val="00820999"/>
    <w:rsid w:val="00820F1F"/>
    <w:rsid w:val="008259B8"/>
    <w:rsid w:val="00825ADA"/>
    <w:rsid w:val="00825DEA"/>
    <w:rsid w:val="008279A8"/>
    <w:rsid w:val="00827E59"/>
    <w:rsid w:val="00827EA7"/>
    <w:rsid w:val="0083050A"/>
    <w:rsid w:val="00830547"/>
    <w:rsid w:val="00830D5E"/>
    <w:rsid w:val="0083160C"/>
    <w:rsid w:val="00832CEE"/>
    <w:rsid w:val="0083338A"/>
    <w:rsid w:val="00833410"/>
    <w:rsid w:val="00833923"/>
    <w:rsid w:val="00834CDA"/>
    <w:rsid w:val="00835C70"/>
    <w:rsid w:val="008362EF"/>
    <w:rsid w:val="008367C0"/>
    <w:rsid w:val="00836B0B"/>
    <w:rsid w:val="0083710E"/>
    <w:rsid w:val="0083734F"/>
    <w:rsid w:val="00837845"/>
    <w:rsid w:val="00840F68"/>
    <w:rsid w:val="008416BE"/>
    <w:rsid w:val="00841ACC"/>
    <w:rsid w:val="00842B7A"/>
    <w:rsid w:val="00843EBB"/>
    <w:rsid w:val="008443EB"/>
    <w:rsid w:val="00844E1C"/>
    <w:rsid w:val="00846D82"/>
    <w:rsid w:val="00850104"/>
    <w:rsid w:val="008510F2"/>
    <w:rsid w:val="00851593"/>
    <w:rsid w:val="00854456"/>
    <w:rsid w:val="00854727"/>
    <w:rsid w:val="00854DDC"/>
    <w:rsid w:val="00855674"/>
    <w:rsid w:val="00861AE4"/>
    <w:rsid w:val="00861E88"/>
    <w:rsid w:val="008623AA"/>
    <w:rsid w:val="0086291A"/>
    <w:rsid w:val="00862D4F"/>
    <w:rsid w:val="00865ACD"/>
    <w:rsid w:val="00867308"/>
    <w:rsid w:val="00867A01"/>
    <w:rsid w:val="0087024A"/>
    <w:rsid w:val="00871456"/>
    <w:rsid w:val="00872ABA"/>
    <w:rsid w:val="00872B47"/>
    <w:rsid w:val="00872FCE"/>
    <w:rsid w:val="0087358C"/>
    <w:rsid w:val="0087425F"/>
    <w:rsid w:val="00874EBD"/>
    <w:rsid w:val="00875DC4"/>
    <w:rsid w:val="008761FC"/>
    <w:rsid w:val="00876856"/>
    <w:rsid w:val="0087788E"/>
    <w:rsid w:val="00877D2F"/>
    <w:rsid w:val="008800C1"/>
    <w:rsid w:val="00880F0C"/>
    <w:rsid w:val="00881137"/>
    <w:rsid w:val="008829A2"/>
    <w:rsid w:val="00882AD1"/>
    <w:rsid w:val="00883A75"/>
    <w:rsid w:val="00883B8A"/>
    <w:rsid w:val="00883F46"/>
    <w:rsid w:val="00883F98"/>
    <w:rsid w:val="00884396"/>
    <w:rsid w:val="008843FC"/>
    <w:rsid w:val="0088463B"/>
    <w:rsid w:val="008861C5"/>
    <w:rsid w:val="008862BD"/>
    <w:rsid w:val="00886F17"/>
    <w:rsid w:val="008917E7"/>
    <w:rsid w:val="008919EC"/>
    <w:rsid w:val="00891BDF"/>
    <w:rsid w:val="00892508"/>
    <w:rsid w:val="00893970"/>
    <w:rsid w:val="00895BBE"/>
    <w:rsid w:val="008962E9"/>
    <w:rsid w:val="0089653C"/>
    <w:rsid w:val="0089774C"/>
    <w:rsid w:val="008A0DE6"/>
    <w:rsid w:val="008A1FF5"/>
    <w:rsid w:val="008A233D"/>
    <w:rsid w:val="008A237E"/>
    <w:rsid w:val="008A356F"/>
    <w:rsid w:val="008A37B9"/>
    <w:rsid w:val="008A447D"/>
    <w:rsid w:val="008A4AF5"/>
    <w:rsid w:val="008A4F12"/>
    <w:rsid w:val="008A53D6"/>
    <w:rsid w:val="008A62A5"/>
    <w:rsid w:val="008A7075"/>
    <w:rsid w:val="008A7E2E"/>
    <w:rsid w:val="008B07A4"/>
    <w:rsid w:val="008B18AE"/>
    <w:rsid w:val="008B3124"/>
    <w:rsid w:val="008B3E56"/>
    <w:rsid w:val="008B577A"/>
    <w:rsid w:val="008B6744"/>
    <w:rsid w:val="008B71FF"/>
    <w:rsid w:val="008B72A5"/>
    <w:rsid w:val="008B7762"/>
    <w:rsid w:val="008C03E2"/>
    <w:rsid w:val="008C0421"/>
    <w:rsid w:val="008C0944"/>
    <w:rsid w:val="008C1918"/>
    <w:rsid w:val="008C1A51"/>
    <w:rsid w:val="008C2A4A"/>
    <w:rsid w:val="008C2F29"/>
    <w:rsid w:val="008C4272"/>
    <w:rsid w:val="008C4AD0"/>
    <w:rsid w:val="008C4B79"/>
    <w:rsid w:val="008C50D3"/>
    <w:rsid w:val="008C5E4E"/>
    <w:rsid w:val="008C5F9A"/>
    <w:rsid w:val="008C63CA"/>
    <w:rsid w:val="008C6740"/>
    <w:rsid w:val="008C6B30"/>
    <w:rsid w:val="008C7EEA"/>
    <w:rsid w:val="008D08E3"/>
    <w:rsid w:val="008D0BD7"/>
    <w:rsid w:val="008D3033"/>
    <w:rsid w:val="008D4055"/>
    <w:rsid w:val="008D493B"/>
    <w:rsid w:val="008D4A7C"/>
    <w:rsid w:val="008D51DA"/>
    <w:rsid w:val="008D524B"/>
    <w:rsid w:val="008D53A9"/>
    <w:rsid w:val="008D5615"/>
    <w:rsid w:val="008D5F0D"/>
    <w:rsid w:val="008D60E6"/>
    <w:rsid w:val="008D683A"/>
    <w:rsid w:val="008D7B17"/>
    <w:rsid w:val="008E0359"/>
    <w:rsid w:val="008E039D"/>
    <w:rsid w:val="008E0805"/>
    <w:rsid w:val="008E0FFB"/>
    <w:rsid w:val="008E11F0"/>
    <w:rsid w:val="008E23D0"/>
    <w:rsid w:val="008E2B4D"/>
    <w:rsid w:val="008E3094"/>
    <w:rsid w:val="008E3295"/>
    <w:rsid w:val="008E3532"/>
    <w:rsid w:val="008E35F7"/>
    <w:rsid w:val="008E3F54"/>
    <w:rsid w:val="008E48EA"/>
    <w:rsid w:val="008E49E4"/>
    <w:rsid w:val="008E55EA"/>
    <w:rsid w:val="008E5926"/>
    <w:rsid w:val="008E7105"/>
    <w:rsid w:val="008E75C5"/>
    <w:rsid w:val="008E7604"/>
    <w:rsid w:val="008E7887"/>
    <w:rsid w:val="008E7E6E"/>
    <w:rsid w:val="008F1194"/>
    <w:rsid w:val="008F11E3"/>
    <w:rsid w:val="008F1615"/>
    <w:rsid w:val="008F1816"/>
    <w:rsid w:val="008F1871"/>
    <w:rsid w:val="008F1884"/>
    <w:rsid w:val="008F20FA"/>
    <w:rsid w:val="008F237A"/>
    <w:rsid w:val="008F2796"/>
    <w:rsid w:val="008F29A9"/>
    <w:rsid w:val="008F34D3"/>
    <w:rsid w:val="008F5F55"/>
    <w:rsid w:val="008F66A7"/>
    <w:rsid w:val="008F6A2F"/>
    <w:rsid w:val="008F6B5E"/>
    <w:rsid w:val="008F755E"/>
    <w:rsid w:val="008F79D0"/>
    <w:rsid w:val="009008B1"/>
    <w:rsid w:val="00901193"/>
    <w:rsid w:val="009014E6"/>
    <w:rsid w:val="00902015"/>
    <w:rsid w:val="009021EE"/>
    <w:rsid w:val="00902471"/>
    <w:rsid w:val="0090323F"/>
    <w:rsid w:val="00903531"/>
    <w:rsid w:val="00904A65"/>
    <w:rsid w:val="00905793"/>
    <w:rsid w:val="00905FE5"/>
    <w:rsid w:val="00906800"/>
    <w:rsid w:val="00907263"/>
    <w:rsid w:val="0090768C"/>
    <w:rsid w:val="0091019D"/>
    <w:rsid w:val="009103EE"/>
    <w:rsid w:val="009123F6"/>
    <w:rsid w:val="00912B28"/>
    <w:rsid w:val="00912B7F"/>
    <w:rsid w:val="009132C9"/>
    <w:rsid w:val="00913E2A"/>
    <w:rsid w:val="00913EF8"/>
    <w:rsid w:val="0091468D"/>
    <w:rsid w:val="0091475E"/>
    <w:rsid w:val="00915341"/>
    <w:rsid w:val="00916155"/>
    <w:rsid w:val="009163B6"/>
    <w:rsid w:val="00916B61"/>
    <w:rsid w:val="00916CDE"/>
    <w:rsid w:val="00917ED2"/>
    <w:rsid w:val="00917F42"/>
    <w:rsid w:val="0092089A"/>
    <w:rsid w:val="00920CD5"/>
    <w:rsid w:val="0092170A"/>
    <w:rsid w:val="009217A9"/>
    <w:rsid w:val="0092287C"/>
    <w:rsid w:val="00922F1E"/>
    <w:rsid w:val="00922F29"/>
    <w:rsid w:val="009231E6"/>
    <w:rsid w:val="00924634"/>
    <w:rsid w:val="0092497B"/>
    <w:rsid w:val="00924ED9"/>
    <w:rsid w:val="009274FA"/>
    <w:rsid w:val="0093042C"/>
    <w:rsid w:val="00930453"/>
    <w:rsid w:val="00931316"/>
    <w:rsid w:val="00932982"/>
    <w:rsid w:val="00933086"/>
    <w:rsid w:val="00933E38"/>
    <w:rsid w:val="00934A0F"/>
    <w:rsid w:val="009367EB"/>
    <w:rsid w:val="00937ED6"/>
    <w:rsid w:val="009406E7"/>
    <w:rsid w:val="00940B04"/>
    <w:rsid w:val="00940EB0"/>
    <w:rsid w:val="00941E97"/>
    <w:rsid w:val="00942124"/>
    <w:rsid w:val="009433A0"/>
    <w:rsid w:val="00943948"/>
    <w:rsid w:val="00943CD4"/>
    <w:rsid w:val="00944AB3"/>
    <w:rsid w:val="00946893"/>
    <w:rsid w:val="00950141"/>
    <w:rsid w:val="0095074C"/>
    <w:rsid w:val="00950840"/>
    <w:rsid w:val="00950BCE"/>
    <w:rsid w:val="00950E4D"/>
    <w:rsid w:val="00950FC7"/>
    <w:rsid w:val="00953FB3"/>
    <w:rsid w:val="0095455D"/>
    <w:rsid w:val="0095482D"/>
    <w:rsid w:val="009563AA"/>
    <w:rsid w:val="0095738C"/>
    <w:rsid w:val="00957540"/>
    <w:rsid w:val="009623A4"/>
    <w:rsid w:val="00964724"/>
    <w:rsid w:val="00964C1A"/>
    <w:rsid w:val="00964E99"/>
    <w:rsid w:val="00965097"/>
    <w:rsid w:val="0096515A"/>
    <w:rsid w:val="00965C79"/>
    <w:rsid w:val="00965F24"/>
    <w:rsid w:val="00965F7C"/>
    <w:rsid w:val="00965FB3"/>
    <w:rsid w:val="00966601"/>
    <w:rsid w:val="00967094"/>
    <w:rsid w:val="0096765C"/>
    <w:rsid w:val="00970079"/>
    <w:rsid w:val="009700A9"/>
    <w:rsid w:val="00970819"/>
    <w:rsid w:val="00970A79"/>
    <w:rsid w:val="00971162"/>
    <w:rsid w:val="00971CD5"/>
    <w:rsid w:val="0097367A"/>
    <w:rsid w:val="00973C9C"/>
    <w:rsid w:val="009748A7"/>
    <w:rsid w:val="009750BB"/>
    <w:rsid w:val="009752BD"/>
    <w:rsid w:val="009758CF"/>
    <w:rsid w:val="009760D2"/>
    <w:rsid w:val="00976C8D"/>
    <w:rsid w:val="00977774"/>
    <w:rsid w:val="009779C3"/>
    <w:rsid w:val="00982CA9"/>
    <w:rsid w:val="0098589D"/>
    <w:rsid w:val="0098672A"/>
    <w:rsid w:val="00986A0B"/>
    <w:rsid w:val="009875D0"/>
    <w:rsid w:val="00990141"/>
    <w:rsid w:val="00990D6F"/>
    <w:rsid w:val="0099157D"/>
    <w:rsid w:val="0099378B"/>
    <w:rsid w:val="00993A67"/>
    <w:rsid w:val="00994D7F"/>
    <w:rsid w:val="009962A0"/>
    <w:rsid w:val="0099644E"/>
    <w:rsid w:val="0099649C"/>
    <w:rsid w:val="00996F8C"/>
    <w:rsid w:val="009976EF"/>
    <w:rsid w:val="009A0627"/>
    <w:rsid w:val="009A2423"/>
    <w:rsid w:val="009A44CB"/>
    <w:rsid w:val="009A454D"/>
    <w:rsid w:val="009A472B"/>
    <w:rsid w:val="009A5C14"/>
    <w:rsid w:val="009A7763"/>
    <w:rsid w:val="009A7B95"/>
    <w:rsid w:val="009A7C59"/>
    <w:rsid w:val="009A7F14"/>
    <w:rsid w:val="009B05E8"/>
    <w:rsid w:val="009B05F1"/>
    <w:rsid w:val="009B126C"/>
    <w:rsid w:val="009B1466"/>
    <w:rsid w:val="009B24CF"/>
    <w:rsid w:val="009B2CF2"/>
    <w:rsid w:val="009B30DC"/>
    <w:rsid w:val="009B45E7"/>
    <w:rsid w:val="009B493A"/>
    <w:rsid w:val="009B4DE3"/>
    <w:rsid w:val="009B6612"/>
    <w:rsid w:val="009B6A55"/>
    <w:rsid w:val="009C0048"/>
    <w:rsid w:val="009C0B36"/>
    <w:rsid w:val="009C158C"/>
    <w:rsid w:val="009C196E"/>
    <w:rsid w:val="009C2E58"/>
    <w:rsid w:val="009C3B52"/>
    <w:rsid w:val="009C40BE"/>
    <w:rsid w:val="009C40DF"/>
    <w:rsid w:val="009C455F"/>
    <w:rsid w:val="009C4A6F"/>
    <w:rsid w:val="009C6025"/>
    <w:rsid w:val="009C76A3"/>
    <w:rsid w:val="009C781F"/>
    <w:rsid w:val="009C791B"/>
    <w:rsid w:val="009C7A08"/>
    <w:rsid w:val="009D02E1"/>
    <w:rsid w:val="009D0E4E"/>
    <w:rsid w:val="009D127D"/>
    <w:rsid w:val="009D18A0"/>
    <w:rsid w:val="009D1BEE"/>
    <w:rsid w:val="009D1EF0"/>
    <w:rsid w:val="009D2082"/>
    <w:rsid w:val="009D34D4"/>
    <w:rsid w:val="009D375C"/>
    <w:rsid w:val="009D3A40"/>
    <w:rsid w:val="009D478F"/>
    <w:rsid w:val="009D479C"/>
    <w:rsid w:val="009D4DC3"/>
    <w:rsid w:val="009D5125"/>
    <w:rsid w:val="009D5ED6"/>
    <w:rsid w:val="009D669B"/>
    <w:rsid w:val="009D69A8"/>
    <w:rsid w:val="009D6C7E"/>
    <w:rsid w:val="009D705F"/>
    <w:rsid w:val="009D73BF"/>
    <w:rsid w:val="009D7BE9"/>
    <w:rsid w:val="009D7BFB"/>
    <w:rsid w:val="009D7E79"/>
    <w:rsid w:val="009E095E"/>
    <w:rsid w:val="009E1028"/>
    <w:rsid w:val="009E1143"/>
    <w:rsid w:val="009E1E3D"/>
    <w:rsid w:val="009E2925"/>
    <w:rsid w:val="009E2993"/>
    <w:rsid w:val="009E3549"/>
    <w:rsid w:val="009E409E"/>
    <w:rsid w:val="009E4EC0"/>
    <w:rsid w:val="009E5732"/>
    <w:rsid w:val="009E63C4"/>
    <w:rsid w:val="009E7131"/>
    <w:rsid w:val="009F0065"/>
    <w:rsid w:val="009F0651"/>
    <w:rsid w:val="009F0908"/>
    <w:rsid w:val="009F160E"/>
    <w:rsid w:val="009F1BCB"/>
    <w:rsid w:val="009F2488"/>
    <w:rsid w:val="009F421F"/>
    <w:rsid w:val="009F62DB"/>
    <w:rsid w:val="009F669D"/>
    <w:rsid w:val="009F6E81"/>
    <w:rsid w:val="009F6FCA"/>
    <w:rsid w:val="009F7321"/>
    <w:rsid w:val="009F77B1"/>
    <w:rsid w:val="00A00194"/>
    <w:rsid w:val="00A003DD"/>
    <w:rsid w:val="00A00568"/>
    <w:rsid w:val="00A00FD1"/>
    <w:rsid w:val="00A02556"/>
    <w:rsid w:val="00A02BF2"/>
    <w:rsid w:val="00A031F9"/>
    <w:rsid w:val="00A0399F"/>
    <w:rsid w:val="00A0406C"/>
    <w:rsid w:val="00A05284"/>
    <w:rsid w:val="00A05A0B"/>
    <w:rsid w:val="00A05E0C"/>
    <w:rsid w:val="00A062A6"/>
    <w:rsid w:val="00A07512"/>
    <w:rsid w:val="00A075F3"/>
    <w:rsid w:val="00A121F0"/>
    <w:rsid w:val="00A12FE6"/>
    <w:rsid w:val="00A13F54"/>
    <w:rsid w:val="00A1486A"/>
    <w:rsid w:val="00A14944"/>
    <w:rsid w:val="00A16B52"/>
    <w:rsid w:val="00A17DED"/>
    <w:rsid w:val="00A20102"/>
    <w:rsid w:val="00A2017E"/>
    <w:rsid w:val="00A2131E"/>
    <w:rsid w:val="00A22515"/>
    <w:rsid w:val="00A2337E"/>
    <w:rsid w:val="00A24765"/>
    <w:rsid w:val="00A24A28"/>
    <w:rsid w:val="00A24C31"/>
    <w:rsid w:val="00A24FA6"/>
    <w:rsid w:val="00A25060"/>
    <w:rsid w:val="00A2547A"/>
    <w:rsid w:val="00A25882"/>
    <w:rsid w:val="00A261BA"/>
    <w:rsid w:val="00A3030B"/>
    <w:rsid w:val="00A31B07"/>
    <w:rsid w:val="00A32DAE"/>
    <w:rsid w:val="00A33C0F"/>
    <w:rsid w:val="00A35F17"/>
    <w:rsid w:val="00A3639E"/>
    <w:rsid w:val="00A3659C"/>
    <w:rsid w:val="00A36A51"/>
    <w:rsid w:val="00A3750B"/>
    <w:rsid w:val="00A40328"/>
    <w:rsid w:val="00A403A8"/>
    <w:rsid w:val="00A404B2"/>
    <w:rsid w:val="00A412C2"/>
    <w:rsid w:val="00A41901"/>
    <w:rsid w:val="00A428F3"/>
    <w:rsid w:val="00A43301"/>
    <w:rsid w:val="00A43CA9"/>
    <w:rsid w:val="00A44509"/>
    <w:rsid w:val="00A446D4"/>
    <w:rsid w:val="00A4582E"/>
    <w:rsid w:val="00A466C5"/>
    <w:rsid w:val="00A472C5"/>
    <w:rsid w:val="00A4740D"/>
    <w:rsid w:val="00A50CD1"/>
    <w:rsid w:val="00A50DA3"/>
    <w:rsid w:val="00A50F59"/>
    <w:rsid w:val="00A52008"/>
    <w:rsid w:val="00A528CC"/>
    <w:rsid w:val="00A52EF0"/>
    <w:rsid w:val="00A53CE6"/>
    <w:rsid w:val="00A5472F"/>
    <w:rsid w:val="00A54975"/>
    <w:rsid w:val="00A54C4F"/>
    <w:rsid w:val="00A54C94"/>
    <w:rsid w:val="00A555D1"/>
    <w:rsid w:val="00A560DE"/>
    <w:rsid w:val="00A56F02"/>
    <w:rsid w:val="00A57FD5"/>
    <w:rsid w:val="00A60AB7"/>
    <w:rsid w:val="00A615FC"/>
    <w:rsid w:val="00A62028"/>
    <w:rsid w:val="00A6320B"/>
    <w:rsid w:val="00A63FA3"/>
    <w:rsid w:val="00A643BD"/>
    <w:rsid w:val="00A64491"/>
    <w:rsid w:val="00A666EB"/>
    <w:rsid w:val="00A66DA4"/>
    <w:rsid w:val="00A7108C"/>
    <w:rsid w:val="00A718E9"/>
    <w:rsid w:val="00A7441C"/>
    <w:rsid w:val="00A75036"/>
    <w:rsid w:val="00A7606A"/>
    <w:rsid w:val="00A7702A"/>
    <w:rsid w:val="00A77956"/>
    <w:rsid w:val="00A80332"/>
    <w:rsid w:val="00A80D18"/>
    <w:rsid w:val="00A81297"/>
    <w:rsid w:val="00A81EE4"/>
    <w:rsid w:val="00A824C9"/>
    <w:rsid w:val="00A829E3"/>
    <w:rsid w:val="00A83C15"/>
    <w:rsid w:val="00A84413"/>
    <w:rsid w:val="00A848A5"/>
    <w:rsid w:val="00A85069"/>
    <w:rsid w:val="00A851D3"/>
    <w:rsid w:val="00A85A4E"/>
    <w:rsid w:val="00A85C99"/>
    <w:rsid w:val="00A85F3A"/>
    <w:rsid w:val="00A86059"/>
    <w:rsid w:val="00A8682A"/>
    <w:rsid w:val="00A86C74"/>
    <w:rsid w:val="00A877EA"/>
    <w:rsid w:val="00A87CC6"/>
    <w:rsid w:val="00A90434"/>
    <w:rsid w:val="00A90848"/>
    <w:rsid w:val="00A90C30"/>
    <w:rsid w:val="00A90D44"/>
    <w:rsid w:val="00A90D5D"/>
    <w:rsid w:val="00A919A8"/>
    <w:rsid w:val="00A941A6"/>
    <w:rsid w:val="00A95130"/>
    <w:rsid w:val="00A95E04"/>
    <w:rsid w:val="00A9664D"/>
    <w:rsid w:val="00A9702D"/>
    <w:rsid w:val="00A97794"/>
    <w:rsid w:val="00AA09CE"/>
    <w:rsid w:val="00AA109A"/>
    <w:rsid w:val="00AA184D"/>
    <w:rsid w:val="00AA3ADF"/>
    <w:rsid w:val="00AA4945"/>
    <w:rsid w:val="00AA4CF5"/>
    <w:rsid w:val="00AA4F18"/>
    <w:rsid w:val="00AA5089"/>
    <w:rsid w:val="00AA7490"/>
    <w:rsid w:val="00AA7EB9"/>
    <w:rsid w:val="00AB0321"/>
    <w:rsid w:val="00AB13D8"/>
    <w:rsid w:val="00AB21EA"/>
    <w:rsid w:val="00AB22C2"/>
    <w:rsid w:val="00AB23B1"/>
    <w:rsid w:val="00AB29DA"/>
    <w:rsid w:val="00AB2D5C"/>
    <w:rsid w:val="00AB44ED"/>
    <w:rsid w:val="00AB4CA8"/>
    <w:rsid w:val="00AB51C0"/>
    <w:rsid w:val="00AB538D"/>
    <w:rsid w:val="00AB6BAC"/>
    <w:rsid w:val="00AB70F7"/>
    <w:rsid w:val="00AC0022"/>
    <w:rsid w:val="00AC0AB2"/>
    <w:rsid w:val="00AC12F5"/>
    <w:rsid w:val="00AC289B"/>
    <w:rsid w:val="00AC37A1"/>
    <w:rsid w:val="00AC5006"/>
    <w:rsid w:val="00AC56CE"/>
    <w:rsid w:val="00AC59CF"/>
    <w:rsid w:val="00AC604F"/>
    <w:rsid w:val="00AC69E5"/>
    <w:rsid w:val="00AC71B2"/>
    <w:rsid w:val="00AC7CB2"/>
    <w:rsid w:val="00AD0495"/>
    <w:rsid w:val="00AD25B3"/>
    <w:rsid w:val="00AD2C27"/>
    <w:rsid w:val="00AD2F15"/>
    <w:rsid w:val="00AD4224"/>
    <w:rsid w:val="00AD4E75"/>
    <w:rsid w:val="00AD523B"/>
    <w:rsid w:val="00AD6DC7"/>
    <w:rsid w:val="00AD74C8"/>
    <w:rsid w:val="00AE018F"/>
    <w:rsid w:val="00AE1909"/>
    <w:rsid w:val="00AE1E31"/>
    <w:rsid w:val="00AE1F27"/>
    <w:rsid w:val="00AE3181"/>
    <w:rsid w:val="00AE357C"/>
    <w:rsid w:val="00AE7531"/>
    <w:rsid w:val="00AE7EDF"/>
    <w:rsid w:val="00AF07F9"/>
    <w:rsid w:val="00AF165B"/>
    <w:rsid w:val="00AF2C19"/>
    <w:rsid w:val="00AF3257"/>
    <w:rsid w:val="00AF34AF"/>
    <w:rsid w:val="00AF3D16"/>
    <w:rsid w:val="00AF4186"/>
    <w:rsid w:val="00AF47A4"/>
    <w:rsid w:val="00AF6432"/>
    <w:rsid w:val="00AF687C"/>
    <w:rsid w:val="00AF6C4D"/>
    <w:rsid w:val="00B01120"/>
    <w:rsid w:val="00B01969"/>
    <w:rsid w:val="00B04BED"/>
    <w:rsid w:val="00B052CB"/>
    <w:rsid w:val="00B054AC"/>
    <w:rsid w:val="00B05CE7"/>
    <w:rsid w:val="00B06368"/>
    <w:rsid w:val="00B0750E"/>
    <w:rsid w:val="00B10470"/>
    <w:rsid w:val="00B10AEC"/>
    <w:rsid w:val="00B11217"/>
    <w:rsid w:val="00B11660"/>
    <w:rsid w:val="00B120E4"/>
    <w:rsid w:val="00B12515"/>
    <w:rsid w:val="00B139D2"/>
    <w:rsid w:val="00B16963"/>
    <w:rsid w:val="00B16C3A"/>
    <w:rsid w:val="00B2044E"/>
    <w:rsid w:val="00B2115F"/>
    <w:rsid w:val="00B21902"/>
    <w:rsid w:val="00B21BA2"/>
    <w:rsid w:val="00B22768"/>
    <w:rsid w:val="00B22779"/>
    <w:rsid w:val="00B2314C"/>
    <w:rsid w:val="00B234B3"/>
    <w:rsid w:val="00B234CD"/>
    <w:rsid w:val="00B23C83"/>
    <w:rsid w:val="00B24E70"/>
    <w:rsid w:val="00B24FA2"/>
    <w:rsid w:val="00B30BB7"/>
    <w:rsid w:val="00B3110A"/>
    <w:rsid w:val="00B3166E"/>
    <w:rsid w:val="00B320FF"/>
    <w:rsid w:val="00B32620"/>
    <w:rsid w:val="00B32906"/>
    <w:rsid w:val="00B32B9E"/>
    <w:rsid w:val="00B32FB1"/>
    <w:rsid w:val="00B33921"/>
    <w:rsid w:val="00B33FCF"/>
    <w:rsid w:val="00B340E9"/>
    <w:rsid w:val="00B349EE"/>
    <w:rsid w:val="00B3528D"/>
    <w:rsid w:val="00B35AFE"/>
    <w:rsid w:val="00B35D3A"/>
    <w:rsid w:val="00B35E9F"/>
    <w:rsid w:val="00B372E0"/>
    <w:rsid w:val="00B4016D"/>
    <w:rsid w:val="00B40329"/>
    <w:rsid w:val="00B4063B"/>
    <w:rsid w:val="00B40B8D"/>
    <w:rsid w:val="00B4103B"/>
    <w:rsid w:val="00B41973"/>
    <w:rsid w:val="00B432A2"/>
    <w:rsid w:val="00B45440"/>
    <w:rsid w:val="00B50250"/>
    <w:rsid w:val="00B50F34"/>
    <w:rsid w:val="00B53839"/>
    <w:rsid w:val="00B5466A"/>
    <w:rsid w:val="00B546E5"/>
    <w:rsid w:val="00B548F1"/>
    <w:rsid w:val="00B54E07"/>
    <w:rsid w:val="00B565C8"/>
    <w:rsid w:val="00B56B0F"/>
    <w:rsid w:val="00B57F78"/>
    <w:rsid w:val="00B6141E"/>
    <w:rsid w:val="00B62F9E"/>
    <w:rsid w:val="00B64AF1"/>
    <w:rsid w:val="00B67ED0"/>
    <w:rsid w:val="00B70DE4"/>
    <w:rsid w:val="00B70E53"/>
    <w:rsid w:val="00B71451"/>
    <w:rsid w:val="00B71A00"/>
    <w:rsid w:val="00B74278"/>
    <w:rsid w:val="00B74705"/>
    <w:rsid w:val="00B74730"/>
    <w:rsid w:val="00B749D6"/>
    <w:rsid w:val="00B75149"/>
    <w:rsid w:val="00B75C22"/>
    <w:rsid w:val="00B768B6"/>
    <w:rsid w:val="00B76DEF"/>
    <w:rsid w:val="00B77767"/>
    <w:rsid w:val="00B803D6"/>
    <w:rsid w:val="00B8091A"/>
    <w:rsid w:val="00B8102E"/>
    <w:rsid w:val="00B82D90"/>
    <w:rsid w:val="00B83257"/>
    <w:rsid w:val="00B8475A"/>
    <w:rsid w:val="00B85199"/>
    <w:rsid w:val="00B87C37"/>
    <w:rsid w:val="00B903E3"/>
    <w:rsid w:val="00B90D14"/>
    <w:rsid w:val="00B911C2"/>
    <w:rsid w:val="00B9137C"/>
    <w:rsid w:val="00B91DF8"/>
    <w:rsid w:val="00B92C72"/>
    <w:rsid w:val="00B93396"/>
    <w:rsid w:val="00B93984"/>
    <w:rsid w:val="00B94B20"/>
    <w:rsid w:val="00B95300"/>
    <w:rsid w:val="00B9543E"/>
    <w:rsid w:val="00B9577C"/>
    <w:rsid w:val="00B9594C"/>
    <w:rsid w:val="00B96F03"/>
    <w:rsid w:val="00B9734C"/>
    <w:rsid w:val="00B97924"/>
    <w:rsid w:val="00BA0B05"/>
    <w:rsid w:val="00BA1C6F"/>
    <w:rsid w:val="00BA26EF"/>
    <w:rsid w:val="00BA2C03"/>
    <w:rsid w:val="00BA314C"/>
    <w:rsid w:val="00BA3969"/>
    <w:rsid w:val="00BA4235"/>
    <w:rsid w:val="00BA6C1F"/>
    <w:rsid w:val="00BA7AF1"/>
    <w:rsid w:val="00BA7DBE"/>
    <w:rsid w:val="00BB1E94"/>
    <w:rsid w:val="00BB1F4A"/>
    <w:rsid w:val="00BB24AC"/>
    <w:rsid w:val="00BB29AC"/>
    <w:rsid w:val="00BB51B9"/>
    <w:rsid w:val="00BB57F4"/>
    <w:rsid w:val="00BB64DA"/>
    <w:rsid w:val="00BB7712"/>
    <w:rsid w:val="00BB7A58"/>
    <w:rsid w:val="00BB7CB8"/>
    <w:rsid w:val="00BC039C"/>
    <w:rsid w:val="00BC0456"/>
    <w:rsid w:val="00BC177D"/>
    <w:rsid w:val="00BC1A41"/>
    <w:rsid w:val="00BC2114"/>
    <w:rsid w:val="00BC26B1"/>
    <w:rsid w:val="00BC2908"/>
    <w:rsid w:val="00BC34C2"/>
    <w:rsid w:val="00BC3FC3"/>
    <w:rsid w:val="00BC5224"/>
    <w:rsid w:val="00BC65D3"/>
    <w:rsid w:val="00BC6BAB"/>
    <w:rsid w:val="00BC6FDF"/>
    <w:rsid w:val="00BC7AE4"/>
    <w:rsid w:val="00BC7D35"/>
    <w:rsid w:val="00BC7D79"/>
    <w:rsid w:val="00BD02DD"/>
    <w:rsid w:val="00BD07DC"/>
    <w:rsid w:val="00BD09E2"/>
    <w:rsid w:val="00BD0AC0"/>
    <w:rsid w:val="00BD2E62"/>
    <w:rsid w:val="00BD4484"/>
    <w:rsid w:val="00BD4A4B"/>
    <w:rsid w:val="00BD4C27"/>
    <w:rsid w:val="00BD6907"/>
    <w:rsid w:val="00BD6E92"/>
    <w:rsid w:val="00BD769D"/>
    <w:rsid w:val="00BE0F25"/>
    <w:rsid w:val="00BE15D2"/>
    <w:rsid w:val="00BE23BB"/>
    <w:rsid w:val="00BE274E"/>
    <w:rsid w:val="00BE336C"/>
    <w:rsid w:val="00BE3502"/>
    <w:rsid w:val="00BE3ADC"/>
    <w:rsid w:val="00BE445D"/>
    <w:rsid w:val="00BE4D2C"/>
    <w:rsid w:val="00BE56D9"/>
    <w:rsid w:val="00BE7F6B"/>
    <w:rsid w:val="00BF0382"/>
    <w:rsid w:val="00BF082E"/>
    <w:rsid w:val="00BF0988"/>
    <w:rsid w:val="00BF1B21"/>
    <w:rsid w:val="00BF1E0A"/>
    <w:rsid w:val="00BF27E9"/>
    <w:rsid w:val="00BF2A73"/>
    <w:rsid w:val="00BF2B5B"/>
    <w:rsid w:val="00BF38FD"/>
    <w:rsid w:val="00BF3947"/>
    <w:rsid w:val="00BF4690"/>
    <w:rsid w:val="00BF6F76"/>
    <w:rsid w:val="00BF7155"/>
    <w:rsid w:val="00C02978"/>
    <w:rsid w:val="00C034A9"/>
    <w:rsid w:val="00C03859"/>
    <w:rsid w:val="00C03F51"/>
    <w:rsid w:val="00C05E01"/>
    <w:rsid w:val="00C05E42"/>
    <w:rsid w:val="00C063F1"/>
    <w:rsid w:val="00C0679C"/>
    <w:rsid w:val="00C078BD"/>
    <w:rsid w:val="00C102CC"/>
    <w:rsid w:val="00C11A47"/>
    <w:rsid w:val="00C12098"/>
    <w:rsid w:val="00C13805"/>
    <w:rsid w:val="00C14397"/>
    <w:rsid w:val="00C15CA6"/>
    <w:rsid w:val="00C16807"/>
    <w:rsid w:val="00C16F89"/>
    <w:rsid w:val="00C17529"/>
    <w:rsid w:val="00C2025F"/>
    <w:rsid w:val="00C20B87"/>
    <w:rsid w:val="00C2167D"/>
    <w:rsid w:val="00C21BCC"/>
    <w:rsid w:val="00C22BFA"/>
    <w:rsid w:val="00C2403A"/>
    <w:rsid w:val="00C24CC2"/>
    <w:rsid w:val="00C266D3"/>
    <w:rsid w:val="00C266DA"/>
    <w:rsid w:val="00C26FE9"/>
    <w:rsid w:val="00C27C74"/>
    <w:rsid w:val="00C27D03"/>
    <w:rsid w:val="00C30313"/>
    <w:rsid w:val="00C304DA"/>
    <w:rsid w:val="00C31095"/>
    <w:rsid w:val="00C31277"/>
    <w:rsid w:val="00C32321"/>
    <w:rsid w:val="00C3294C"/>
    <w:rsid w:val="00C3296F"/>
    <w:rsid w:val="00C33173"/>
    <w:rsid w:val="00C349F0"/>
    <w:rsid w:val="00C34A1E"/>
    <w:rsid w:val="00C3720B"/>
    <w:rsid w:val="00C406CF"/>
    <w:rsid w:val="00C41423"/>
    <w:rsid w:val="00C41C56"/>
    <w:rsid w:val="00C4334F"/>
    <w:rsid w:val="00C4363D"/>
    <w:rsid w:val="00C438CA"/>
    <w:rsid w:val="00C4434A"/>
    <w:rsid w:val="00C44906"/>
    <w:rsid w:val="00C44974"/>
    <w:rsid w:val="00C44E9E"/>
    <w:rsid w:val="00C4570B"/>
    <w:rsid w:val="00C46098"/>
    <w:rsid w:val="00C46439"/>
    <w:rsid w:val="00C465CE"/>
    <w:rsid w:val="00C46B32"/>
    <w:rsid w:val="00C47A26"/>
    <w:rsid w:val="00C50E1F"/>
    <w:rsid w:val="00C516EC"/>
    <w:rsid w:val="00C52ABF"/>
    <w:rsid w:val="00C539F0"/>
    <w:rsid w:val="00C53DC9"/>
    <w:rsid w:val="00C5436E"/>
    <w:rsid w:val="00C54702"/>
    <w:rsid w:val="00C571A9"/>
    <w:rsid w:val="00C615A7"/>
    <w:rsid w:val="00C616BF"/>
    <w:rsid w:val="00C61AD1"/>
    <w:rsid w:val="00C622E5"/>
    <w:rsid w:val="00C62AE6"/>
    <w:rsid w:val="00C62C5D"/>
    <w:rsid w:val="00C6342A"/>
    <w:rsid w:val="00C646CF"/>
    <w:rsid w:val="00C64873"/>
    <w:rsid w:val="00C64C34"/>
    <w:rsid w:val="00C64EE6"/>
    <w:rsid w:val="00C65959"/>
    <w:rsid w:val="00C65A0A"/>
    <w:rsid w:val="00C65ED1"/>
    <w:rsid w:val="00C66628"/>
    <w:rsid w:val="00C67701"/>
    <w:rsid w:val="00C711C5"/>
    <w:rsid w:val="00C715DB"/>
    <w:rsid w:val="00C7189F"/>
    <w:rsid w:val="00C73C13"/>
    <w:rsid w:val="00C7422F"/>
    <w:rsid w:val="00C74528"/>
    <w:rsid w:val="00C74812"/>
    <w:rsid w:val="00C751BF"/>
    <w:rsid w:val="00C762F7"/>
    <w:rsid w:val="00C7651A"/>
    <w:rsid w:val="00C77280"/>
    <w:rsid w:val="00C77C83"/>
    <w:rsid w:val="00C812AA"/>
    <w:rsid w:val="00C813A0"/>
    <w:rsid w:val="00C817E6"/>
    <w:rsid w:val="00C81AD1"/>
    <w:rsid w:val="00C81E9F"/>
    <w:rsid w:val="00C82372"/>
    <w:rsid w:val="00C82B76"/>
    <w:rsid w:val="00C82CB6"/>
    <w:rsid w:val="00C83111"/>
    <w:rsid w:val="00C84265"/>
    <w:rsid w:val="00C84ED5"/>
    <w:rsid w:val="00C8609E"/>
    <w:rsid w:val="00C8623F"/>
    <w:rsid w:val="00C87684"/>
    <w:rsid w:val="00C87E9A"/>
    <w:rsid w:val="00C901DB"/>
    <w:rsid w:val="00C9070B"/>
    <w:rsid w:val="00C92706"/>
    <w:rsid w:val="00C929EE"/>
    <w:rsid w:val="00C93B18"/>
    <w:rsid w:val="00C94791"/>
    <w:rsid w:val="00C94CBD"/>
    <w:rsid w:val="00C95057"/>
    <w:rsid w:val="00C96465"/>
    <w:rsid w:val="00C96D0A"/>
    <w:rsid w:val="00C96E97"/>
    <w:rsid w:val="00C974FE"/>
    <w:rsid w:val="00CA001B"/>
    <w:rsid w:val="00CA01AD"/>
    <w:rsid w:val="00CA061E"/>
    <w:rsid w:val="00CA1267"/>
    <w:rsid w:val="00CA2625"/>
    <w:rsid w:val="00CA3024"/>
    <w:rsid w:val="00CA36EF"/>
    <w:rsid w:val="00CA3C73"/>
    <w:rsid w:val="00CA3E46"/>
    <w:rsid w:val="00CA5475"/>
    <w:rsid w:val="00CA5E21"/>
    <w:rsid w:val="00CA6FE3"/>
    <w:rsid w:val="00CA7BFF"/>
    <w:rsid w:val="00CB0164"/>
    <w:rsid w:val="00CB19DA"/>
    <w:rsid w:val="00CB1BF5"/>
    <w:rsid w:val="00CB2FA5"/>
    <w:rsid w:val="00CB44F6"/>
    <w:rsid w:val="00CB519E"/>
    <w:rsid w:val="00CB51BB"/>
    <w:rsid w:val="00CB51FF"/>
    <w:rsid w:val="00CB6E0C"/>
    <w:rsid w:val="00CC023C"/>
    <w:rsid w:val="00CC0334"/>
    <w:rsid w:val="00CC1692"/>
    <w:rsid w:val="00CC1B8B"/>
    <w:rsid w:val="00CC1DF5"/>
    <w:rsid w:val="00CC1EAD"/>
    <w:rsid w:val="00CC30C2"/>
    <w:rsid w:val="00CC311A"/>
    <w:rsid w:val="00CC3A59"/>
    <w:rsid w:val="00CC3C03"/>
    <w:rsid w:val="00CC4253"/>
    <w:rsid w:val="00CC4804"/>
    <w:rsid w:val="00CC4E34"/>
    <w:rsid w:val="00CC5133"/>
    <w:rsid w:val="00CC54EB"/>
    <w:rsid w:val="00CC5F27"/>
    <w:rsid w:val="00CC63FE"/>
    <w:rsid w:val="00CC7437"/>
    <w:rsid w:val="00CD06C1"/>
    <w:rsid w:val="00CD20E1"/>
    <w:rsid w:val="00CD2F74"/>
    <w:rsid w:val="00CD3BBB"/>
    <w:rsid w:val="00CD3C54"/>
    <w:rsid w:val="00CD5A98"/>
    <w:rsid w:val="00CD6EF5"/>
    <w:rsid w:val="00CD7493"/>
    <w:rsid w:val="00CD76C0"/>
    <w:rsid w:val="00CD7F31"/>
    <w:rsid w:val="00CE1BC1"/>
    <w:rsid w:val="00CE21A4"/>
    <w:rsid w:val="00CE3521"/>
    <w:rsid w:val="00CE3A2A"/>
    <w:rsid w:val="00CE3B1C"/>
    <w:rsid w:val="00CE5723"/>
    <w:rsid w:val="00CF00AD"/>
    <w:rsid w:val="00CF06F9"/>
    <w:rsid w:val="00CF071D"/>
    <w:rsid w:val="00CF1107"/>
    <w:rsid w:val="00CF1168"/>
    <w:rsid w:val="00CF1C88"/>
    <w:rsid w:val="00CF2D83"/>
    <w:rsid w:val="00CF3034"/>
    <w:rsid w:val="00CF3FC7"/>
    <w:rsid w:val="00CF5493"/>
    <w:rsid w:val="00CF5603"/>
    <w:rsid w:val="00CF634F"/>
    <w:rsid w:val="00CF67D8"/>
    <w:rsid w:val="00CF694E"/>
    <w:rsid w:val="00CF6BF4"/>
    <w:rsid w:val="00CF7DE9"/>
    <w:rsid w:val="00D00547"/>
    <w:rsid w:val="00D01398"/>
    <w:rsid w:val="00D0189D"/>
    <w:rsid w:val="00D02427"/>
    <w:rsid w:val="00D02E46"/>
    <w:rsid w:val="00D03781"/>
    <w:rsid w:val="00D0403A"/>
    <w:rsid w:val="00D04528"/>
    <w:rsid w:val="00D050BA"/>
    <w:rsid w:val="00D05E32"/>
    <w:rsid w:val="00D06CBF"/>
    <w:rsid w:val="00D06FC6"/>
    <w:rsid w:val="00D07DAA"/>
    <w:rsid w:val="00D11CE7"/>
    <w:rsid w:val="00D12281"/>
    <w:rsid w:val="00D14D03"/>
    <w:rsid w:val="00D173CE"/>
    <w:rsid w:val="00D176D6"/>
    <w:rsid w:val="00D21F17"/>
    <w:rsid w:val="00D225A9"/>
    <w:rsid w:val="00D234A5"/>
    <w:rsid w:val="00D2772F"/>
    <w:rsid w:val="00D27FC4"/>
    <w:rsid w:val="00D3079F"/>
    <w:rsid w:val="00D30C5E"/>
    <w:rsid w:val="00D3100A"/>
    <w:rsid w:val="00D312EB"/>
    <w:rsid w:val="00D31C89"/>
    <w:rsid w:val="00D3348F"/>
    <w:rsid w:val="00D3413F"/>
    <w:rsid w:val="00D34190"/>
    <w:rsid w:val="00D3483B"/>
    <w:rsid w:val="00D3497A"/>
    <w:rsid w:val="00D35A12"/>
    <w:rsid w:val="00D373B0"/>
    <w:rsid w:val="00D40BB5"/>
    <w:rsid w:val="00D40EFC"/>
    <w:rsid w:val="00D4142C"/>
    <w:rsid w:val="00D42178"/>
    <w:rsid w:val="00D4229B"/>
    <w:rsid w:val="00D45C32"/>
    <w:rsid w:val="00D462AD"/>
    <w:rsid w:val="00D46FF7"/>
    <w:rsid w:val="00D47431"/>
    <w:rsid w:val="00D47A8B"/>
    <w:rsid w:val="00D47AD5"/>
    <w:rsid w:val="00D47F91"/>
    <w:rsid w:val="00D518C3"/>
    <w:rsid w:val="00D51C09"/>
    <w:rsid w:val="00D51D3D"/>
    <w:rsid w:val="00D52CEB"/>
    <w:rsid w:val="00D52D3B"/>
    <w:rsid w:val="00D532C6"/>
    <w:rsid w:val="00D5426B"/>
    <w:rsid w:val="00D55010"/>
    <w:rsid w:val="00D5599A"/>
    <w:rsid w:val="00D55B21"/>
    <w:rsid w:val="00D563A6"/>
    <w:rsid w:val="00D569AD"/>
    <w:rsid w:val="00D56C76"/>
    <w:rsid w:val="00D5769B"/>
    <w:rsid w:val="00D60074"/>
    <w:rsid w:val="00D6041B"/>
    <w:rsid w:val="00D605E5"/>
    <w:rsid w:val="00D61E52"/>
    <w:rsid w:val="00D61F73"/>
    <w:rsid w:val="00D6268B"/>
    <w:rsid w:val="00D62A68"/>
    <w:rsid w:val="00D62A8B"/>
    <w:rsid w:val="00D630A0"/>
    <w:rsid w:val="00D65697"/>
    <w:rsid w:val="00D66036"/>
    <w:rsid w:val="00D66D0D"/>
    <w:rsid w:val="00D67140"/>
    <w:rsid w:val="00D7076D"/>
    <w:rsid w:val="00D71595"/>
    <w:rsid w:val="00D71B33"/>
    <w:rsid w:val="00D731B0"/>
    <w:rsid w:val="00D73F84"/>
    <w:rsid w:val="00D740F4"/>
    <w:rsid w:val="00D74189"/>
    <w:rsid w:val="00D74329"/>
    <w:rsid w:val="00D7465C"/>
    <w:rsid w:val="00D75419"/>
    <w:rsid w:val="00D758A0"/>
    <w:rsid w:val="00D77596"/>
    <w:rsid w:val="00D802FD"/>
    <w:rsid w:val="00D814B5"/>
    <w:rsid w:val="00D82EE0"/>
    <w:rsid w:val="00D8402A"/>
    <w:rsid w:val="00D84962"/>
    <w:rsid w:val="00D84FCC"/>
    <w:rsid w:val="00D869C5"/>
    <w:rsid w:val="00D86A4E"/>
    <w:rsid w:val="00D87EE8"/>
    <w:rsid w:val="00D91E3F"/>
    <w:rsid w:val="00D92BE8"/>
    <w:rsid w:val="00D932E1"/>
    <w:rsid w:val="00D936BF"/>
    <w:rsid w:val="00D937A6"/>
    <w:rsid w:val="00D93FD8"/>
    <w:rsid w:val="00D94A5A"/>
    <w:rsid w:val="00D94C3C"/>
    <w:rsid w:val="00D95258"/>
    <w:rsid w:val="00D956C6"/>
    <w:rsid w:val="00D9626A"/>
    <w:rsid w:val="00DA0427"/>
    <w:rsid w:val="00DA05B7"/>
    <w:rsid w:val="00DA0CB6"/>
    <w:rsid w:val="00DA1B0F"/>
    <w:rsid w:val="00DA1E39"/>
    <w:rsid w:val="00DA2171"/>
    <w:rsid w:val="00DA266F"/>
    <w:rsid w:val="00DA2928"/>
    <w:rsid w:val="00DA3AE2"/>
    <w:rsid w:val="00DA3B33"/>
    <w:rsid w:val="00DA42A3"/>
    <w:rsid w:val="00DA5AF9"/>
    <w:rsid w:val="00DA5B4D"/>
    <w:rsid w:val="00DA66D3"/>
    <w:rsid w:val="00DA702D"/>
    <w:rsid w:val="00DA7075"/>
    <w:rsid w:val="00DA74A2"/>
    <w:rsid w:val="00DA7D37"/>
    <w:rsid w:val="00DB010E"/>
    <w:rsid w:val="00DB0BBC"/>
    <w:rsid w:val="00DB191E"/>
    <w:rsid w:val="00DB1E05"/>
    <w:rsid w:val="00DB2029"/>
    <w:rsid w:val="00DB5927"/>
    <w:rsid w:val="00DB6664"/>
    <w:rsid w:val="00DB73FB"/>
    <w:rsid w:val="00DB7CC5"/>
    <w:rsid w:val="00DB7CD4"/>
    <w:rsid w:val="00DC0A66"/>
    <w:rsid w:val="00DC0DBE"/>
    <w:rsid w:val="00DC2523"/>
    <w:rsid w:val="00DC3792"/>
    <w:rsid w:val="00DC429D"/>
    <w:rsid w:val="00DC497E"/>
    <w:rsid w:val="00DC49F0"/>
    <w:rsid w:val="00DC6743"/>
    <w:rsid w:val="00DC6E17"/>
    <w:rsid w:val="00DC6F8F"/>
    <w:rsid w:val="00DC7C69"/>
    <w:rsid w:val="00DD0C56"/>
    <w:rsid w:val="00DD26B7"/>
    <w:rsid w:val="00DD2785"/>
    <w:rsid w:val="00DD2EA7"/>
    <w:rsid w:val="00DD35D4"/>
    <w:rsid w:val="00DD3C0D"/>
    <w:rsid w:val="00DD4449"/>
    <w:rsid w:val="00DD4DCA"/>
    <w:rsid w:val="00DD5B02"/>
    <w:rsid w:val="00DD5CCB"/>
    <w:rsid w:val="00DD6003"/>
    <w:rsid w:val="00DD635E"/>
    <w:rsid w:val="00DD7B1D"/>
    <w:rsid w:val="00DE1355"/>
    <w:rsid w:val="00DE14D6"/>
    <w:rsid w:val="00DE1A4C"/>
    <w:rsid w:val="00DE285A"/>
    <w:rsid w:val="00DE2A03"/>
    <w:rsid w:val="00DE2F3F"/>
    <w:rsid w:val="00DE3645"/>
    <w:rsid w:val="00DE3973"/>
    <w:rsid w:val="00DE4ADB"/>
    <w:rsid w:val="00DE5417"/>
    <w:rsid w:val="00DE5630"/>
    <w:rsid w:val="00DE65F6"/>
    <w:rsid w:val="00DE7227"/>
    <w:rsid w:val="00DE76FC"/>
    <w:rsid w:val="00DF2891"/>
    <w:rsid w:val="00DF355A"/>
    <w:rsid w:val="00DF3789"/>
    <w:rsid w:val="00DF3B2A"/>
    <w:rsid w:val="00DF3F22"/>
    <w:rsid w:val="00DF4BAB"/>
    <w:rsid w:val="00DF5D14"/>
    <w:rsid w:val="00DF608E"/>
    <w:rsid w:val="00DF657D"/>
    <w:rsid w:val="00DF682A"/>
    <w:rsid w:val="00DF6CC5"/>
    <w:rsid w:val="00DF6DB2"/>
    <w:rsid w:val="00DF6FF1"/>
    <w:rsid w:val="00DF71EB"/>
    <w:rsid w:val="00DF76E0"/>
    <w:rsid w:val="00DF7763"/>
    <w:rsid w:val="00DF7F7A"/>
    <w:rsid w:val="00E007FD"/>
    <w:rsid w:val="00E00B50"/>
    <w:rsid w:val="00E015A9"/>
    <w:rsid w:val="00E01B18"/>
    <w:rsid w:val="00E01B2E"/>
    <w:rsid w:val="00E01B45"/>
    <w:rsid w:val="00E02883"/>
    <w:rsid w:val="00E02AEE"/>
    <w:rsid w:val="00E02E89"/>
    <w:rsid w:val="00E03A97"/>
    <w:rsid w:val="00E04029"/>
    <w:rsid w:val="00E05379"/>
    <w:rsid w:val="00E05D98"/>
    <w:rsid w:val="00E0744B"/>
    <w:rsid w:val="00E07667"/>
    <w:rsid w:val="00E07755"/>
    <w:rsid w:val="00E07D23"/>
    <w:rsid w:val="00E07E2E"/>
    <w:rsid w:val="00E07E8B"/>
    <w:rsid w:val="00E10861"/>
    <w:rsid w:val="00E120BC"/>
    <w:rsid w:val="00E1258C"/>
    <w:rsid w:val="00E1376C"/>
    <w:rsid w:val="00E137AA"/>
    <w:rsid w:val="00E1440A"/>
    <w:rsid w:val="00E15635"/>
    <w:rsid w:val="00E15E45"/>
    <w:rsid w:val="00E16BEE"/>
    <w:rsid w:val="00E2103E"/>
    <w:rsid w:val="00E212B9"/>
    <w:rsid w:val="00E21B02"/>
    <w:rsid w:val="00E23869"/>
    <w:rsid w:val="00E24B0F"/>
    <w:rsid w:val="00E25B42"/>
    <w:rsid w:val="00E26156"/>
    <w:rsid w:val="00E27323"/>
    <w:rsid w:val="00E27FA3"/>
    <w:rsid w:val="00E302DF"/>
    <w:rsid w:val="00E304C4"/>
    <w:rsid w:val="00E3099D"/>
    <w:rsid w:val="00E32D2D"/>
    <w:rsid w:val="00E333FB"/>
    <w:rsid w:val="00E3345C"/>
    <w:rsid w:val="00E35515"/>
    <w:rsid w:val="00E361BF"/>
    <w:rsid w:val="00E36F7B"/>
    <w:rsid w:val="00E378FB"/>
    <w:rsid w:val="00E37C51"/>
    <w:rsid w:val="00E40778"/>
    <w:rsid w:val="00E40ED4"/>
    <w:rsid w:val="00E40F77"/>
    <w:rsid w:val="00E410E2"/>
    <w:rsid w:val="00E41D9C"/>
    <w:rsid w:val="00E41FE9"/>
    <w:rsid w:val="00E427D9"/>
    <w:rsid w:val="00E4324A"/>
    <w:rsid w:val="00E43FA3"/>
    <w:rsid w:val="00E44314"/>
    <w:rsid w:val="00E444B4"/>
    <w:rsid w:val="00E4501A"/>
    <w:rsid w:val="00E4586E"/>
    <w:rsid w:val="00E46187"/>
    <w:rsid w:val="00E46BFA"/>
    <w:rsid w:val="00E46DA2"/>
    <w:rsid w:val="00E47631"/>
    <w:rsid w:val="00E477BE"/>
    <w:rsid w:val="00E47B62"/>
    <w:rsid w:val="00E513F5"/>
    <w:rsid w:val="00E51517"/>
    <w:rsid w:val="00E51A78"/>
    <w:rsid w:val="00E51AFF"/>
    <w:rsid w:val="00E51F74"/>
    <w:rsid w:val="00E53A0B"/>
    <w:rsid w:val="00E54533"/>
    <w:rsid w:val="00E55868"/>
    <w:rsid w:val="00E55FE6"/>
    <w:rsid w:val="00E57D68"/>
    <w:rsid w:val="00E60C14"/>
    <w:rsid w:val="00E61747"/>
    <w:rsid w:val="00E61815"/>
    <w:rsid w:val="00E620C7"/>
    <w:rsid w:val="00E64538"/>
    <w:rsid w:val="00E647B5"/>
    <w:rsid w:val="00E653B8"/>
    <w:rsid w:val="00E65D86"/>
    <w:rsid w:val="00E66421"/>
    <w:rsid w:val="00E66967"/>
    <w:rsid w:val="00E67987"/>
    <w:rsid w:val="00E67B86"/>
    <w:rsid w:val="00E67E1C"/>
    <w:rsid w:val="00E70A51"/>
    <w:rsid w:val="00E70E2A"/>
    <w:rsid w:val="00E72C1A"/>
    <w:rsid w:val="00E7435E"/>
    <w:rsid w:val="00E74BBE"/>
    <w:rsid w:val="00E75675"/>
    <w:rsid w:val="00E763CD"/>
    <w:rsid w:val="00E76A0F"/>
    <w:rsid w:val="00E76F36"/>
    <w:rsid w:val="00E7711B"/>
    <w:rsid w:val="00E77D6D"/>
    <w:rsid w:val="00E8114F"/>
    <w:rsid w:val="00E82B64"/>
    <w:rsid w:val="00E83E08"/>
    <w:rsid w:val="00E850A3"/>
    <w:rsid w:val="00E8528B"/>
    <w:rsid w:val="00E86084"/>
    <w:rsid w:val="00E86A15"/>
    <w:rsid w:val="00E86E88"/>
    <w:rsid w:val="00E87034"/>
    <w:rsid w:val="00E8766C"/>
    <w:rsid w:val="00E878C1"/>
    <w:rsid w:val="00E904B3"/>
    <w:rsid w:val="00E90733"/>
    <w:rsid w:val="00E90DC2"/>
    <w:rsid w:val="00E90F26"/>
    <w:rsid w:val="00E91D52"/>
    <w:rsid w:val="00E931A2"/>
    <w:rsid w:val="00E932F5"/>
    <w:rsid w:val="00E93D9A"/>
    <w:rsid w:val="00E94D70"/>
    <w:rsid w:val="00E95EEF"/>
    <w:rsid w:val="00E96340"/>
    <w:rsid w:val="00EA0157"/>
    <w:rsid w:val="00EA0C3E"/>
    <w:rsid w:val="00EA0DE1"/>
    <w:rsid w:val="00EA1141"/>
    <w:rsid w:val="00EA19AF"/>
    <w:rsid w:val="00EA1BF3"/>
    <w:rsid w:val="00EA38D5"/>
    <w:rsid w:val="00EA3A46"/>
    <w:rsid w:val="00EA4363"/>
    <w:rsid w:val="00EA5409"/>
    <w:rsid w:val="00EA5445"/>
    <w:rsid w:val="00EA5C37"/>
    <w:rsid w:val="00EA5F10"/>
    <w:rsid w:val="00EA5F30"/>
    <w:rsid w:val="00EA6F59"/>
    <w:rsid w:val="00EA789A"/>
    <w:rsid w:val="00EA7B94"/>
    <w:rsid w:val="00EB0AC8"/>
    <w:rsid w:val="00EB0F10"/>
    <w:rsid w:val="00EB13BC"/>
    <w:rsid w:val="00EB219C"/>
    <w:rsid w:val="00EB2C13"/>
    <w:rsid w:val="00EB2C25"/>
    <w:rsid w:val="00EB321E"/>
    <w:rsid w:val="00EB6374"/>
    <w:rsid w:val="00EB64FC"/>
    <w:rsid w:val="00EB6F39"/>
    <w:rsid w:val="00EB7B3E"/>
    <w:rsid w:val="00EB7C5B"/>
    <w:rsid w:val="00EC0FC7"/>
    <w:rsid w:val="00EC3466"/>
    <w:rsid w:val="00EC37C6"/>
    <w:rsid w:val="00EC3CEA"/>
    <w:rsid w:val="00EC5360"/>
    <w:rsid w:val="00EC6F70"/>
    <w:rsid w:val="00EC744B"/>
    <w:rsid w:val="00EC778D"/>
    <w:rsid w:val="00EC7B5A"/>
    <w:rsid w:val="00EC7CEC"/>
    <w:rsid w:val="00ED03B7"/>
    <w:rsid w:val="00ED090C"/>
    <w:rsid w:val="00ED1573"/>
    <w:rsid w:val="00ED1966"/>
    <w:rsid w:val="00ED3498"/>
    <w:rsid w:val="00ED3C02"/>
    <w:rsid w:val="00ED419B"/>
    <w:rsid w:val="00ED43BD"/>
    <w:rsid w:val="00ED4DA5"/>
    <w:rsid w:val="00ED5501"/>
    <w:rsid w:val="00ED5AF3"/>
    <w:rsid w:val="00ED5F06"/>
    <w:rsid w:val="00ED624A"/>
    <w:rsid w:val="00ED6E55"/>
    <w:rsid w:val="00ED7419"/>
    <w:rsid w:val="00ED76DA"/>
    <w:rsid w:val="00EE050F"/>
    <w:rsid w:val="00EE081A"/>
    <w:rsid w:val="00EE0F44"/>
    <w:rsid w:val="00EE1131"/>
    <w:rsid w:val="00EE1EB5"/>
    <w:rsid w:val="00EE243B"/>
    <w:rsid w:val="00EE2B28"/>
    <w:rsid w:val="00EE3398"/>
    <w:rsid w:val="00EE60DB"/>
    <w:rsid w:val="00EE7E38"/>
    <w:rsid w:val="00EE7EEA"/>
    <w:rsid w:val="00EF1D7E"/>
    <w:rsid w:val="00EF34B4"/>
    <w:rsid w:val="00EF39FC"/>
    <w:rsid w:val="00EF4CEE"/>
    <w:rsid w:val="00EF5638"/>
    <w:rsid w:val="00EF59A3"/>
    <w:rsid w:val="00EF5EA7"/>
    <w:rsid w:val="00EF6801"/>
    <w:rsid w:val="00EF6AA5"/>
    <w:rsid w:val="00EF7F09"/>
    <w:rsid w:val="00F016CA"/>
    <w:rsid w:val="00F016F3"/>
    <w:rsid w:val="00F01E4F"/>
    <w:rsid w:val="00F02189"/>
    <w:rsid w:val="00F0281E"/>
    <w:rsid w:val="00F04143"/>
    <w:rsid w:val="00F0482C"/>
    <w:rsid w:val="00F0740D"/>
    <w:rsid w:val="00F075C0"/>
    <w:rsid w:val="00F07750"/>
    <w:rsid w:val="00F07780"/>
    <w:rsid w:val="00F106C0"/>
    <w:rsid w:val="00F10988"/>
    <w:rsid w:val="00F12149"/>
    <w:rsid w:val="00F126D9"/>
    <w:rsid w:val="00F1300F"/>
    <w:rsid w:val="00F13587"/>
    <w:rsid w:val="00F156DE"/>
    <w:rsid w:val="00F16387"/>
    <w:rsid w:val="00F17B1E"/>
    <w:rsid w:val="00F17D47"/>
    <w:rsid w:val="00F203C7"/>
    <w:rsid w:val="00F210E0"/>
    <w:rsid w:val="00F215E0"/>
    <w:rsid w:val="00F21646"/>
    <w:rsid w:val="00F21917"/>
    <w:rsid w:val="00F23EB3"/>
    <w:rsid w:val="00F24203"/>
    <w:rsid w:val="00F24765"/>
    <w:rsid w:val="00F24837"/>
    <w:rsid w:val="00F27A4B"/>
    <w:rsid w:val="00F27BB1"/>
    <w:rsid w:val="00F31DD6"/>
    <w:rsid w:val="00F32B0E"/>
    <w:rsid w:val="00F33DC4"/>
    <w:rsid w:val="00F356DB"/>
    <w:rsid w:val="00F35946"/>
    <w:rsid w:val="00F359C0"/>
    <w:rsid w:val="00F37DBE"/>
    <w:rsid w:val="00F401F9"/>
    <w:rsid w:val="00F4036B"/>
    <w:rsid w:val="00F423EB"/>
    <w:rsid w:val="00F42DEC"/>
    <w:rsid w:val="00F430AC"/>
    <w:rsid w:val="00F438E3"/>
    <w:rsid w:val="00F462D5"/>
    <w:rsid w:val="00F46975"/>
    <w:rsid w:val="00F477B9"/>
    <w:rsid w:val="00F50656"/>
    <w:rsid w:val="00F50663"/>
    <w:rsid w:val="00F506F4"/>
    <w:rsid w:val="00F5098F"/>
    <w:rsid w:val="00F53378"/>
    <w:rsid w:val="00F53604"/>
    <w:rsid w:val="00F549BC"/>
    <w:rsid w:val="00F54A39"/>
    <w:rsid w:val="00F54B2D"/>
    <w:rsid w:val="00F55625"/>
    <w:rsid w:val="00F55741"/>
    <w:rsid w:val="00F55FAE"/>
    <w:rsid w:val="00F56B65"/>
    <w:rsid w:val="00F575F5"/>
    <w:rsid w:val="00F60171"/>
    <w:rsid w:val="00F6086F"/>
    <w:rsid w:val="00F60924"/>
    <w:rsid w:val="00F613FA"/>
    <w:rsid w:val="00F6631F"/>
    <w:rsid w:val="00F709B4"/>
    <w:rsid w:val="00F70E60"/>
    <w:rsid w:val="00F71B37"/>
    <w:rsid w:val="00F72027"/>
    <w:rsid w:val="00F72112"/>
    <w:rsid w:val="00F723D6"/>
    <w:rsid w:val="00F724AB"/>
    <w:rsid w:val="00F738BF"/>
    <w:rsid w:val="00F739CF"/>
    <w:rsid w:val="00F75E3A"/>
    <w:rsid w:val="00F77DF0"/>
    <w:rsid w:val="00F77E87"/>
    <w:rsid w:val="00F806A9"/>
    <w:rsid w:val="00F80F0F"/>
    <w:rsid w:val="00F81620"/>
    <w:rsid w:val="00F81EA3"/>
    <w:rsid w:val="00F8217F"/>
    <w:rsid w:val="00F83113"/>
    <w:rsid w:val="00F83C22"/>
    <w:rsid w:val="00F84521"/>
    <w:rsid w:val="00F848CF"/>
    <w:rsid w:val="00F84EA8"/>
    <w:rsid w:val="00F85067"/>
    <w:rsid w:val="00F8510F"/>
    <w:rsid w:val="00F8551A"/>
    <w:rsid w:val="00F86B07"/>
    <w:rsid w:val="00F87451"/>
    <w:rsid w:val="00F906AB"/>
    <w:rsid w:val="00F91766"/>
    <w:rsid w:val="00F91A6E"/>
    <w:rsid w:val="00F92FAA"/>
    <w:rsid w:val="00F9678F"/>
    <w:rsid w:val="00F96B7D"/>
    <w:rsid w:val="00F97388"/>
    <w:rsid w:val="00F97412"/>
    <w:rsid w:val="00FA0537"/>
    <w:rsid w:val="00FA0D1E"/>
    <w:rsid w:val="00FA1739"/>
    <w:rsid w:val="00FA1A05"/>
    <w:rsid w:val="00FA25EA"/>
    <w:rsid w:val="00FA2AC8"/>
    <w:rsid w:val="00FA2ECA"/>
    <w:rsid w:val="00FA2FA8"/>
    <w:rsid w:val="00FA4875"/>
    <w:rsid w:val="00FA65E5"/>
    <w:rsid w:val="00FA6A63"/>
    <w:rsid w:val="00FB0F17"/>
    <w:rsid w:val="00FB1348"/>
    <w:rsid w:val="00FB177B"/>
    <w:rsid w:val="00FB1EA0"/>
    <w:rsid w:val="00FB2144"/>
    <w:rsid w:val="00FB2DA4"/>
    <w:rsid w:val="00FB45C2"/>
    <w:rsid w:val="00FB6B51"/>
    <w:rsid w:val="00FB7052"/>
    <w:rsid w:val="00FC08E5"/>
    <w:rsid w:val="00FC2094"/>
    <w:rsid w:val="00FC2786"/>
    <w:rsid w:val="00FC36CB"/>
    <w:rsid w:val="00FC3779"/>
    <w:rsid w:val="00FC400D"/>
    <w:rsid w:val="00FC58AA"/>
    <w:rsid w:val="00FC789A"/>
    <w:rsid w:val="00FC7979"/>
    <w:rsid w:val="00FC7CE2"/>
    <w:rsid w:val="00FD0815"/>
    <w:rsid w:val="00FD1134"/>
    <w:rsid w:val="00FD1489"/>
    <w:rsid w:val="00FD15A5"/>
    <w:rsid w:val="00FD2169"/>
    <w:rsid w:val="00FD24D9"/>
    <w:rsid w:val="00FD2860"/>
    <w:rsid w:val="00FD2B4A"/>
    <w:rsid w:val="00FD43CA"/>
    <w:rsid w:val="00FD5879"/>
    <w:rsid w:val="00FD5ED5"/>
    <w:rsid w:val="00FD7C6C"/>
    <w:rsid w:val="00FE033E"/>
    <w:rsid w:val="00FE13C6"/>
    <w:rsid w:val="00FE23C6"/>
    <w:rsid w:val="00FE2E5D"/>
    <w:rsid w:val="00FE498A"/>
    <w:rsid w:val="00FE54A8"/>
    <w:rsid w:val="00FE6741"/>
    <w:rsid w:val="00FE6B1A"/>
    <w:rsid w:val="00FE6BC8"/>
    <w:rsid w:val="00FE7073"/>
    <w:rsid w:val="00FF06F9"/>
    <w:rsid w:val="00FF072F"/>
    <w:rsid w:val="00FF0FB4"/>
    <w:rsid w:val="00FF12B9"/>
    <w:rsid w:val="00FF18B0"/>
    <w:rsid w:val="00FF1A88"/>
    <w:rsid w:val="00FF2B2A"/>
    <w:rsid w:val="00FF2B97"/>
    <w:rsid w:val="00FF4B9B"/>
    <w:rsid w:val="00FF4BB6"/>
    <w:rsid w:val="00FF4E9F"/>
    <w:rsid w:val="00FF4EE6"/>
    <w:rsid w:val="00FF683E"/>
    <w:rsid w:val="01082030"/>
    <w:rsid w:val="011F12F7"/>
    <w:rsid w:val="01222EEF"/>
    <w:rsid w:val="01341AA0"/>
    <w:rsid w:val="01412F80"/>
    <w:rsid w:val="016D0DD0"/>
    <w:rsid w:val="018C3172"/>
    <w:rsid w:val="01B80D3F"/>
    <w:rsid w:val="01BA73E4"/>
    <w:rsid w:val="01BE1304"/>
    <w:rsid w:val="021E36E5"/>
    <w:rsid w:val="02202ADA"/>
    <w:rsid w:val="022652BF"/>
    <w:rsid w:val="02487AB5"/>
    <w:rsid w:val="02586AC8"/>
    <w:rsid w:val="02886AA4"/>
    <w:rsid w:val="02E32840"/>
    <w:rsid w:val="02EA69D0"/>
    <w:rsid w:val="02F83619"/>
    <w:rsid w:val="034A7B2C"/>
    <w:rsid w:val="034E3903"/>
    <w:rsid w:val="037471CD"/>
    <w:rsid w:val="03760A36"/>
    <w:rsid w:val="03792FEF"/>
    <w:rsid w:val="03936772"/>
    <w:rsid w:val="039E087E"/>
    <w:rsid w:val="03A348EB"/>
    <w:rsid w:val="03AD1962"/>
    <w:rsid w:val="03F6576B"/>
    <w:rsid w:val="0418200B"/>
    <w:rsid w:val="041C4092"/>
    <w:rsid w:val="041E256A"/>
    <w:rsid w:val="04237962"/>
    <w:rsid w:val="044863F8"/>
    <w:rsid w:val="0461008F"/>
    <w:rsid w:val="04A528E3"/>
    <w:rsid w:val="04A55BFB"/>
    <w:rsid w:val="04D26368"/>
    <w:rsid w:val="04EA2A9E"/>
    <w:rsid w:val="04EF304F"/>
    <w:rsid w:val="050A3F90"/>
    <w:rsid w:val="050D5116"/>
    <w:rsid w:val="050D76F3"/>
    <w:rsid w:val="05153C0F"/>
    <w:rsid w:val="05334A43"/>
    <w:rsid w:val="05546825"/>
    <w:rsid w:val="057B6B0A"/>
    <w:rsid w:val="059662C6"/>
    <w:rsid w:val="05BE3B22"/>
    <w:rsid w:val="05D40C2A"/>
    <w:rsid w:val="05DF0749"/>
    <w:rsid w:val="05DF15A2"/>
    <w:rsid w:val="05E90CAB"/>
    <w:rsid w:val="06226674"/>
    <w:rsid w:val="06586264"/>
    <w:rsid w:val="068D3169"/>
    <w:rsid w:val="06DF197F"/>
    <w:rsid w:val="07053E2D"/>
    <w:rsid w:val="07156778"/>
    <w:rsid w:val="074D2DE5"/>
    <w:rsid w:val="07574E75"/>
    <w:rsid w:val="07593703"/>
    <w:rsid w:val="075E2B1D"/>
    <w:rsid w:val="077D4495"/>
    <w:rsid w:val="07962605"/>
    <w:rsid w:val="079B2F64"/>
    <w:rsid w:val="07CA6D5A"/>
    <w:rsid w:val="07D06811"/>
    <w:rsid w:val="0819095F"/>
    <w:rsid w:val="0825697C"/>
    <w:rsid w:val="08396836"/>
    <w:rsid w:val="08490ECB"/>
    <w:rsid w:val="0860003B"/>
    <w:rsid w:val="08746FBF"/>
    <w:rsid w:val="08807F20"/>
    <w:rsid w:val="08C01C3B"/>
    <w:rsid w:val="08CA58CD"/>
    <w:rsid w:val="08E012EA"/>
    <w:rsid w:val="08F505B5"/>
    <w:rsid w:val="09361A03"/>
    <w:rsid w:val="09442A7A"/>
    <w:rsid w:val="098948DD"/>
    <w:rsid w:val="09E147FB"/>
    <w:rsid w:val="0A2847C2"/>
    <w:rsid w:val="0A2F27BA"/>
    <w:rsid w:val="0A6C072B"/>
    <w:rsid w:val="0A6D197E"/>
    <w:rsid w:val="0A6E0516"/>
    <w:rsid w:val="0A765FB8"/>
    <w:rsid w:val="0A7C7EC1"/>
    <w:rsid w:val="0A861850"/>
    <w:rsid w:val="0A9D6646"/>
    <w:rsid w:val="0AA02B1F"/>
    <w:rsid w:val="0AAD6B86"/>
    <w:rsid w:val="0AD52E7A"/>
    <w:rsid w:val="0B2010A4"/>
    <w:rsid w:val="0B381ECF"/>
    <w:rsid w:val="0B413B8A"/>
    <w:rsid w:val="0B513F4D"/>
    <w:rsid w:val="0B810672"/>
    <w:rsid w:val="0B9D7C24"/>
    <w:rsid w:val="0BA42FC5"/>
    <w:rsid w:val="0BB8714B"/>
    <w:rsid w:val="0BCC20DB"/>
    <w:rsid w:val="0BF20B1B"/>
    <w:rsid w:val="0C3B4DC5"/>
    <w:rsid w:val="0C595B6A"/>
    <w:rsid w:val="0C5B2F65"/>
    <w:rsid w:val="0C767857"/>
    <w:rsid w:val="0C8E4C34"/>
    <w:rsid w:val="0C9233AD"/>
    <w:rsid w:val="0CFD1B55"/>
    <w:rsid w:val="0D2778F2"/>
    <w:rsid w:val="0D3F0059"/>
    <w:rsid w:val="0D6B4803"/>
    <w:rsid w:val="0D7E52A7"/>
    <w:rsid w:val="0DC35464"/>
    <w:rsid w:val="0DDF17DF"/>
    <w:rsid w:val="0DFA02E4"/>
    <w:rsid w:val="0E0560BC"/>
    <w:rsid w:val="0E174CEB"/>
    <w:rsid w:val="0E320DB2"/>
    <w:rsid w:val="0E57352B"/>
    <w:rsid w:val="0E6A098F"/>
    <w:rsid w:val="0E905921"/>
    <w:rsid w:val="0EAF2656"/>
    <w:rsid w:val="0EB75A4D"/>
    <w:rsid w:val="0EC9085F"/>
    <w:rsid w:val="0EE14D35"/>
    <w:rsid w:val="0F236395"/>
    <w:rsid w:val="0F2B4A71"/>
    <w:rsid w:val="0F4164CD"/>
    <w:rsid w:val="0F4B218B"/>
    <w:rsid w:val="0F7F0EF9"/>
    <w:rsid w:val="0F8D6EB0"/>
    <w:rsid w:val="0F8F3348"/>
    <w:rsid w:val="0F9D1305"/>
    <w:rsid w:val="0FAC55F8"/>
    <w:rsid w:val="101B46DD"/>
    <w:rsid w:val="103C7EF4"/>
    <w:rsid w:val="104A052C"/>
    <w:rsid w:val="10545A59"/>
    <w:rsid w:val="105F2EBE"/>
    <w:rsid w:val="106139F0"/>
    <w:rsid w:val="10801A7F"/>
    <w:rsid w:val="10851918"/>
    <w:rsid w:val="108715F0"/>
    <w:rsid w:val="10960A60"/>
    <w:rsid w:val="10A528DA"/>
    <w:rsid w:val="10AB2BE5"/>
    <w:rsid w:val="10B50CB7"/>
    <w:rsid w:val="10BA1222"/>
    <w:rsid w:val="10BA7A9A"/>
    <w:rsid w:val="10BD1140"/>
    <w:rsid w:val="10D41B82"/>
    <w:rsid w:val="10E55ACF"/>
    <w:rsid w:val="10F36419"/>
    <w:rsid w:val="10F76F16"/>
    <w:rsid w:val="111820EA"/>
    <w:rsid w:val="111A32E4"/>
    <w:rsid w:val="11617B23"/>
    <w:rsid w:val="118D081A"/>
    <w:rsid w:val="118D3DCC"/>
    <w:rsid w:val="11992626"/>
    <w:rsid w:val="11A34E5D"/>
    <w:rsid w:val="11B34CC8"/>
    <w:rsid w:val="11BF06A1"/>
    <w:rsid w:val="11E8280A"/>
    <w:rsid w:val="12037E1C"/>
    <w:rsid w:val="120F4099"/>
    <w:rsid w:val="12497A45"/>
    <w:rsid w:val="12516798"/>
    <w:rsid w:val="12562098"/>
    <w:rsid w:val="12CE51BD"/>
    <w:rsid w:val="12D5374E"/>
    <w:rsid w:val="13004251"/>
    <w:rsid w:val="130866C6"/>
    <w:rsid w:val="131710B8"/>
    <w:rsid w:val="132D0579"/>
    <w:rsid w:val="134331EC"/>
    <w:rsid w:val="13453BAE"/>
    <w:rsid w:val="135374E3"/>
    <w:rsid w:val="137F07C4"/>
    <w:rsid w:val="1382324B"/>
    <w:rsid w:val="138D2D7B"/>
    <w:rsid w:val="139424A8"/>
    <w:rsid w:val="13B3544A"/>
    <w:rsid w:val="13BB7A4B"/>
    <w:rsid w:val="13CE759A"/>
    <w:rsid w:val="13E17A60"/>
    <w:rsid w:val="13F147E1"/>
    <w:rsid w:val="13FD2223"/>
    <w:rsid w:val="14201B75"/>
    <w:rsid w:val="145C0662"/>
    <w:rsid w:val="146D2A05"/>
    <w:rsid w:val="147820D2"/>
    <w:rsid w:val="147B0093"/>
    <w:rsid w:val="14B1729E"/>
    <w:rsid w:val="14BD630C"/>
    <w:rsid w:val="14CB0FB2"/>
    <w:rsid w:val="14DE559A"/>
    <w:rsid w:val="14FD2874"/>
    <w:rsid w:val="1536563E"/>
    <w:rsid w:val="153D57A9"/>
    <w:rsid w:val="15483EEE"/>
    <w:rsid w:val="15795B72"/>
    <w:rsid w:val="157F5C67"/>
    <w:rsid w:val="15B276B0"/>
    <w:rsid w:val="15B34456"/>
    <w:rsid w:val="16702048"/>
    <w:rsid w:val="167047F0"/>
    <w:rsid w:val="167B764C"/>
    <w:rsid w:val="167D52BA"/>
    <w:rsid w:val="16AE2596"/>
    <w:rsid w:val="16B31066"/>
    <w:rsid w:val="16D0429A"/>
    <w:rsid w:val="16DF5E4B"/>
    <w:rsid w:val="16EE0E28"/>
    <w:rsid w:val="16FD4B64"/>
    <w:rsid w:val="16FF5FF6"/>
    <w:rsid w:val="17072F54"/>
    <w:rsid w:val="17183BB3"/>
    <w:rsid w:val="17257F15"/>
    <w:rsid w:val="173529A2"/>
    <w:rsid w:val="174723B9"/>
    <w:rsid w:val="17646EE7"/>
    <w:rsid w:val="17757074"/>
    <w:rsid w:val="178A7C1A"/>
    <w:rsid w:val="1798077A"/>
    <w:rsid w:val="179E4A12"/>
    <w:rsid w:val="179E4EFF"/>
    <w:rsid w:val="17B022C6"/>
    <w:rsid w:val="17B13B87"/>
    <w:rsid w:val="17BF5F86"/>
    <w:rsid w:val="17D6315A"/>
    <w:rsid w:val="17DA48AC"/>
    <w:rsid w:val="17F33E11"/>
    <w:rsid w:val="17FA5E9C"/>
    <w:rsid w:val="180C2802"/>
    <w:rsid w:val="18275B13"/>
    <w:rsid w:val="18330E1C"/>
    <w:rsid w:val="18357091"/>
    <w:rsid w:val="18656213"/>
    <w:rsid w:val="186F4C56"/>
    <w:rsid w:val="187A19A6"/>
    <w:rsid w:val="187B2BD0"/>
    <w:rsid w:val="188C5E82"/>
    <w:rsid w:val="18931D5E"/>
    <w:rsid w:val="18EE6BA9"/>
    <w:rsid w:val="18F1569C"/>
    <w:rsid w:val="18F420C3"/>
    <w:rsid w:val="1947570A"/>
    <w:rsid w:val="19735A08"/>
    <w:rsid w:val="19906CD5"/>
    <w:rsid w:val="19A54B21"/>
    <w:rsid w:val="19B67436"/>
    <w:rsid w:val="1A2E5301"/>
    <w:rsid w:val="1A5E6121"/>
    <w:rsid w:val="1A680296"/>
    <w:rsid w:val="1A8064D3"/>
    <w:rsid w:val="1AB26DCD"/>
    <w:rsid w:val="1AFD3B6A"/>
    <w:rsid w:val="1B281C78"/>
    <w:rsid w:val="1B3C6923"/>
    <w:rsid w:val="1B4D7343"/>
    <w:rsid w:val="1B4F1EB1"/>
    <w:rsid w:val="1B8E1A01"/>
    <w:rsid w:val="1B9158F5"/>
    <w:rsid w:val="1BEA588E"/>
    <w:rsid w:val="1C382E17"/>
    <w:rsid w:val="1C9D2689"/>
    <w:rsid w:val="1CB12B61"/>
    <w:rsid w:val="1CBF6B6C"/>
    <w:rsid w:val="1CC26FBD"/>
    <w:rsid w:val="1CD13D54"/>
    <w:rsid w:val="1CDF0016"/>
    <w:rsid w:val="1D097E79"/>
    <w:rsid w:val="1D2E3FFC"/>
    <w:rsid w:val="1D3766E0"/>
    <w:rsid w:val="1D5C3938"/>
    <w:rsid w:val="1D941192"/>
    <w:rsid w:val="1DA41C7F"/>
    <w:rsid w:val="1DB11737"/>
    <w:rsid w:val="1DCC6E5E"/>
    <w:rsid w:val="1DE92A56"/>
    <w:rsid w:val="1E092442"/>
    <w:rsid w:val="1E244F79"/>
    <w:rsid w:val="1EB1373C"/>
    <w:rsid w:val="1EE33326"/>
    <w:rsid w:val="1EF20C59"/>
    <w:rsid w:val="1F16061C"/>
    <w:rsid w:val="1F181FA2"/>
    <w:rsid w:val="1F23583B"/>
    <w:rsid w:val="1F481311"/>
    <w:rsid w:val="1F560F47"/>
    <w:rsid w:val="1FA300FA"/>
    <w:rsid w:val="1FA33571"/>
    <w:rsid w:val="1FBE6C12"/>
    <w:rsid w:val="1FFD32A2"/>
    <w:rsid w:val="20102D91"/>
    <w:rsid w:val="202B1BD0"/>
    <w:rsid w:val="207569A5"/>
    <w:rsid w:val="20F17F66"/>
    <w:rsid w:val="21020F80"/>
    <w:rsid w:val="211C5513"/>
    <w:rsid w:val="2131165D"/>
    <w:rsid w:val="2144028D"/>
    <w:rsid w:val="214672ED"/>
    <w:rsid w:val="21BC4B21"/>
    <w:rsid w:val="21DE5BF8"/>
    <w:rsid w:val="224627B0"/>
    <w:rsid w:val="22605C74"/>
    <w:rsid w:val="226A7343"/>
    <w:rsid w:val="22733700"/>
    <w:rsid w:val="22DC3905"/>
    <w:rsid w:val="23194A4F"/>
    <w:rsid w:val="231C4A3F"/>
    <w:rsid w:val="232D0CF4"/>
    <w:rsid w:val="234E6170"/>
    <w:rsid w:val="238B5E34"/>
    <w:rsid w:val="23A10E59"/>
    <w:rsid w:val="23CB6D2E"/>
    <w:rsid w:val="23CF4954"/>
    <w:rsid w:val="23E72AD7"/>
    <w:rsid w:val="23EC7071"/>
    <w:rsid w:val="242171C2"/>
    <w:rsid w:val="244A717A"/>
    <w:rsid w:val="24902D71"/>
    <w:rsid w:val="24943611"/>
    <w:rsid w:val="24AA294D"/>
    <w:rsid w:val="24DA791D"/>
    <w:rsid w:val="24DF57A0"/>
    <w:rsid w:val="24F42D37"/>
    <w:rsid w:val="25162D04"/>
    <w:rsid w:val="255C6983"/>
    <w:rsid w:val="256A540C"/>
    <w:rsid w:val="25AA2C92"/>
    <w:rsid w:val="25BE37A2"/>
    <w:rsid w:val="25C81CC9"/>
    <w:rsid w:val="25C87A1A"/>
    <w:rsid w:val="25E50B96"/>
    <w:rsid w:val="25ED6802"/>
    <w:rsid w:val="26093577"/>
    <w:rsid w:val="260E07C8"/>
    <w:rsid w:val="26806196"/>
    <w:rsid w:val="26905077"/>
    <w:rsid w:val="26AD4C18"/>
    <w:rsid w:val="26C64400"/>
    <w:rsid w:val="26C72E54"/>
    <w:rsid w:val="26CB5BF6"/>
    <w:rsid w:val="27037A40"/>
    <w:rsid w:val="27180CF3"/>
    <w:rsid w:val="271A659D"/>
    <w:rsid w:val="27267CD5"/>
    <w:rsid w:val="27427615"/>
    <w:rsid w:val="2758122A"/>
    <w:rsid w:val="27737285"/>
    <w:rsid w:val="27B52EA5"/>
    <w:rsid w:val="27D05CD2"/>
    <w:rsid w:val="27DE52EA"/>
    <w:rsid w:val="27EC118E"/>
    <w:rsid w:val="27F851AE"/>
    <w:rsid w:val="28131F85"/>
    <w:rsid w:val="281C7846"/>
    <w:rsid w:val="282623D6"/>
    <w:rsid w:val="284804F8"/>
    <w:rsid w:val="28694845"/>
    <w:rsid w:val="289316EE"/>
    <w:rsid w:val="289A6B28"/>
    <w:rsid w:val="28A75A97"/>
    <w:rsid w:val="28C426BA"/>
    <w:rsid w:val="28C8424E"/>
    <w:rsid w:val="28D717D0"/>
    <w:rsid w:val="29124072"/>
    <w:rsid w:val="294670B6"/>
    <w:rsid w:val="295314D4"/>
    <w:rsid w:val="295F57ED"/>
    <w:rsid w:val="29704B1A"/>
    <w:rsid w:val="299348E0"/>
    <w:rsid w:val="29A92B5E"/>
    <w:rsid w:val="29B02E8E"/>
    <w:rsid w:val="29B97180"/>
    <w:rsid w:val="29D0011A"/>
    <w:rsid w:val="29D95152"/>
    <w:rsid w:val="29F5197C"/>
    <w:rsid w:val="2A6D4F3D"/>
    <w:rsid w:val="2AD32B51"/>
    <w:rsid w:val="2AE9634B"/>
    <w:rsid w:val="2AEE3202"/>
    <w:rsid w:val="2AF63AE1"/>
    <w:rsid w:val="2B284DFF"/>
    <w:rsid w:val="2B2A7D60"/>
    <w:rsid w:val="2B2C2BC4"/>
    <w:rsid w:val="2B3E6D8A"/>
    <w:rsid w:val="2B717030"/>
    <w:rsid w:val="2B99218F"/>
    <w:rsid w:val="2BAA60D4"/>
    <w:rsid w:val="2BF066B5"/>
    <w:rsid w:val="2C0A6C7D"/>
    <w:rsid w:val="2C141734"/>
    <w:rsid w:val="2C561F54"/>
    <w:rsid w:val="2C777663"/>
    <w:rsid w:val="2C8140D3"/>
    <w:rsid w:val="2C903BF2"/>
    <w:rsid w:val="2CDC314E"/>
    <w:rsid w:val="2CDF237C"/>
    <w:rsid w:val="2D1060CD"/>
    <w:rsid w:val="2D3C678C"/>
    <w:rsid w:val="2D3E3855"/>
    <w:rsid w:val="2D4968CE"/>
    <w:rsid w:val="2D650C0E"/>
    <w:rsid w:val="2D697E6A"/>
    <w:rsid w:val="2D6F33C4"/>
    <w:rsid w:val="2D7F15BF"/>
    <w:rsid w:val="2DC1698E"/>
    <w:rsid w:val="2DE124D2"/>
    <w:rsid w:val="2EA97CDF"/>
    <w:rsid w:val="2EAF147F"/>
    <w:rsid w:val="2EB8097B"/>
    <w:rsid w:val="2ED8434B"/>
    <w:rsid w:val="2F26269B"/>
    <w:rsid w:val="2F2C7B5A"/>
    <w:rsid w:val="2F8311BF"/>
    <w:rsid w:val="2FD33202"/>
    <w:rsid w:val="2FE14F5D"/>
    <w:rsid w:val="30101195"/>
    <w:rsid w:val="30197C01"/>
    <w:rsid w:val="301C015F"/>
    <w:rsid w:val="301E0463"/>
    <w:rsid w:val="302D0419"/>
    <w:rsid w:val="303D3524"/>
    <w:rsid w:val="306A65AC"/>
    <w:rsid w:val="306B0326"/>
    <w:rsid w:val="30761C5E"/>
    <w:rsid w:val="30815D88"/>
    <w:rsid w:val="30D02BCB"/>
    <w:rsid w:val="30D62643"/>
    <w:rsid w:val="30DC0E19"/>
    <w:rsid w:val="30E74900"/>
    <w:rsid w:val="30E834C6"/>
    <w:rsid w:val="31233CC6"/>
    <w:rsid w:val="31384A02"/>
    <w:rsid w:val="314871A7"/>
    <w:rsid w:val="3159582D"/>
    <w:rsid w:val="315A2335"/>
    <w:rsid w:val="316B0D3D"/>
    <w:rsid w:val="31765459"/>
    <w:rsid w:val="31851132"/>
    <w:rsid w:val="31C536B9"/>
    <w:rsid w:val="31CA58BC"/>
    <w:rsid w:val="31E63CFF"/>
    <w:rsid w:val="31F67A05"/>
    <w:rsid w:val="320D6EC3"/>
    <w:rsid w:val="32135324"/>
    <w:rsid w:val="322E7001"/>
    <w:rsid w:val="325767A5"/>
    <w:rsid w:val="32753481"/>
    <w:rsid w:val="327B74A4"/>
    <w:rsid w:val="329F376A"/>
    <w:rsid w:val="32A9101D"/>
    <w:rsid w:val="32C6304C"/>
    <w:rsid w:val="32D440EF"/>
    <w:rsid w:val="32DD0018"/>
    <w:rsid w:val="33271BD2"/>
    <w:rsid w:val="33294CD8"/>
    <w:rsid w:val="333021FA"/>
    <w:rsid w:val="33424814"/>
    <w:rsid w:val="334B0029"/>
    <w:rsid w:val="334B0052"/>
    <w:rsid w:val="33585F5E"/>
    <w:rsid w:val="33A54852"/>
    <w:rsid w:val="33D61DC5"/>
    <w:rsid w:val="34135306"/>
    <w:rsid w:val="34300FA3"/>
    <w:rsid w:val="34591CB0"/>
    <w:rsid w:val="345947B6"/>
    <w:rsid w:val="345B0173"/>
    <w:rsid w:val="346202B8"/>
    <w:rsid w:val="346D124D"/>
    <w:rsid w:val="34712317"/>
    <w:rsid w:val="349333A1"/>
    <w:rsid w:val="34942F4E"/>
    <w:rsid w:val="34C51439"/>
    <w:rsid w:val="34DA1AF1"/>
    <w:rsid w:val="34F85BBB"/>
    <w:rsid w:val="35244756"/>
    <w:rsid w:val="35710C54"/>
    <w:rsid w:val="358C3370"/>
    <w:rsid w:val="358E2F62"/>
    <w:rsid w:val="35D27F18"/>
    <w:rsid w:val="36011745"/>
    <w:rsid w:val="3617245E"/>
    <w:rsid w:val="36307701"/>
    <w:rsid w:val="36415B1F"/>
    <w:rsid w:val="36720555"/>
    <w:rsid w:val="36746703"/>
    <w:rsid w:val="36816E80"/>
    <w:rsid w:val="3693095E"/>
    <w:rsid w:val="36B16F41"/>
    <w:rsid w:val="36BE3611"/>
    <w:rsid w:val="372D1B7E"/>
    <w:rsid w:val="376A70DE"/>
    <w:rsid w:val="37BA291C"/>
    <w:rsid w:val="37CF109D"/>
    <w:rsid w:val="37D77F3C"/>
    <w:rsid w:val="380229CE"/>
    <w:rsid w:val="38055637"/>
    <w:rsid w:val="38101425"/>
    <w:rsid w:val="38326D9E"/>
    <w:rsid w:val="38D24DEA"/>
    <w:rsid w:val="38FA6729"/>
    <w:rsid w:val="38FB4870"/>
    <w:rsid w:val="393A5D81"/>
    <w:rsid w:val="3940361B"/>
    <w:rsid w:val="394441F5"/>
    <w:rsid w:val="39577D23"/>
    <w:rsid w:val="3972243B"/>
    <w:rsid w:val="398C7088"/>
    <w:rsid w:val="39950295"/>
    <w:rsid w:val="39BB69E8"/>
    <w:rsid w:val="39C721D5"/>
    <w:rsid w:val="39EB5C06"/>
    <w:rsid w:val="39F1151D"/>
    <w:rsid w:val="3A0D1D81"/>
    <w:rsid w:val="3A46239F"/>
    <w:rsid w:val="3A7754FB"/>
    <w:rsid w:val="3A891C11"/>
    <w:rsid w:val="3A987455"/>
    <w:rsid w:val="3ACF6371"/>
    <w:rsid w:val="3AD2049A"/>
    <w:rsid w:val="3AD47D4E"/>
    <w:rsid w:val="3ADD40C3"/>
    <w:rsid w:val="3AED4F54"/>
    <w:rsid w:val="3B315922"/>
    <w:rsid w:val="3B690306"/>
    <w:rsid w:val="3B6E560D"/>
    <w:rsid w:val="3B775A4F"/>
    <w:rsid w:val="3B9E3609"/>
    <w:rsid w:val="3BA82FBB"/>
    <w:rsid w:val="3BAB67F1"/>
    <w:rsid w:val="3BD037B3"/>
    <w:rsid w:val="3BFE1CEB"/>
    <w:rsid w:val="3C1B31C7"/>
    <w:rsid w:val="3C1D4D17"/>
    <w:rsid w:val="3C412874"/>
    <w:rsid w:val="3C4B3D23"/>
    <w:rsid w:val="3C601700"/>
    <w:rsid w:val="3C625770"/>
    <w:rsid w:val="3C6836D8"/>
    <w:rsid w:val="3C893E03"/>
    <w:rsid w:val="3CB44720"/>
    <w:rsid w:val="3CD70D3C"/>
    <w:rsid w:val="3CEE52DE"/>
    <w:rsid w:val="3D1C3F21"/>
    <w:rsid w:val="3D2554CA"/>
    <w:rsid w:val="3D7C2162"/>
    <w:rsid w:val="3D7D2A9B"/>
    <w:rsid w:val="3D862E75"/>
    <w:rsid w:val="3DAF2FE5"/>
    <w:rsid w:val="3E177435"/>
    <w:rsid w:val="3E3B36E8"/>
    <w:rsid w:val="3E5550F5"/>
    <w:rsid w:val="3E69431B"/>
    <w:rsid w:val="3E6E2EF6"/>
    <w:rsid w:val="3E706D6E"/>
    <w:rsid w:val="3EB61810"/>
    <w:rsid w:val="3EC00ABA"/>
    <w:rsid w:val="3F1335B3"/>
    <w:rsid w:val="3F13516A"/>
    <w:rsid w:val="3F4265C3"/>
    <w:rsid w:val="3F5A3A7F"/>
    <w:rsid w:val="3F7E7F06"/>
    <w:rsid w:val="3F7F128D"/>
    <w:rsid w:val="3FB02B7D"/>
    <w:rsid w:val="3FC06812"/>
    <w:rsid w:val="3FE4428F"/>
    <w:rsid w:val="3FFD3A68"/>
    <w:rsid w:val="3FFF54EE"/>
    <w:rsid w:val="400A571E"/>
    <w:rsid w:val="401D718E"/>
    <w:rsid w:val="402723B7"/>
    <w:rsid w:val="40281B4E"/>
    <w:rsid w:val="40350184"/>
    <w:rsid w:val="40493F28"/>
    <w:rsid w:val="404A33D6"/>
    <w:rsid w:val="404E7024"/>
    <w:rsid w:val="408C1C6F"/>
    <w:rsid w:val="409B2EC2"/>
    <w:rsid w:val="40AB6B44"/>
    <w:rsid w:val="40AE2A1D"/>
    <w:rsid w:val="40AE7E12"/>
    <w:rsid w:val="41081C32"/>
    <w:rsid w:val="41107BE6"/>
    <w:rsid w:val="41342C49"/>
    <w:rsid w:val="41366073"/>
    <w:rsid w:val="4176643E"/>
    <w:rsid w:val="41A37E49"/>
    <w:rsid w:val="41C24305"/>
    <w:rsid w:val="41D51B88"/>
    <w:rsid w:val="420F4B4C"/>
    <w:rsid w:val="42283D5C"/>
    <w:rsid w:val="4237529D"/>
    <w:rsid w:val="42402DFA"/>
    <w:rsid w:val="42434E2B"/>
    <w:rsid w:val="42540868"/>
    <w:rsid w:val="4260438F"/>
    <w:rsid w:val="42946CAE"/>
    <w:rsid w:val="42D74796"/>
    <w:rsid w:val="42EB2656"/>
    <w:rsid w:val="430F6259"/>
    <w:rsid w:val="43236EA4"/>
    <w:rsid w:val="433F3FC2"/>
    <w:rsid w:val="43636AC0"/>
    <w:rsid w:val="43854DD3"/>
    <w:rsid w:val="43982048"/>
    <w:rsid w:val="43A00E80"/>
    <w:rsid w:val="43DA5415"/>
    <w:rsid w:val="43E5525C"/>
    <w:rsid w:val="43EE6A01"/>
    <w:rsid w:val="43EF3BD1"/>
    <w:rsid w:val="440B2CE6"/>
    <w:rsid w:val="440E52D1"/>
    <w:rsid w:val="4437516C"/>
    <w:rsid w:val="44706713"/>
    <w:rsid w:val="448D20F1"/>
    <w:rsid w:val="448F39F4"/>
    <w:rsid w:val="449C7FB2"/>
    <w:rsid w:val="44C70722"/>
    <w:rsid w:val="44D74780"/>
    <w:rsid w:val="44E62218"/>
    <w:rsid w:val="44F72288"/>
    <w:rsid w:val="45234054"/>
    <w:rsid w:val="45306F20"/>
    <w:rsid w:val="454D7C42"/>
    <w:rsid w:val="455C2D50"/>
    <w:rsid w:val="45696E85"/>
    <w:rsid w:val="4578138D"/>
    <w:rsid w:val="45910EBB"/>
    <w:rsid w:val="459A5689"/>
    <w:rsid w:val="45AF38B1"/>
    <w:rsid w:val="45BA7E38"/>
    <w:rsid w:val="46040F44"/>
    <w:rsid w:val="46064560"/>
    <w:rsid w:val="46336867"/>
    <w:rsid w:val="46431863"/>
    <w:rsid w:val="465C6B6A"/>
    <w:rsid w:val="466325D2"/>
    <w:rsid w:val="46694C46"/>
    <w:rsid w:val="4672000F"/>
    <w:rsid w:val="46736EB7"/>
    <w:rsid w:val="469434EC"/>
    <w:rsid w:val="469907EC"/>
    <w:rsid w:val="46A3243A"/>
    <w:rsid w:val="46C06B8D"/>
    <w:rsid w:val="46E74160"/>
    <w:rsid w:val="470C679C"/>
    <w:rsid w:val="47223851"/>
    <w:rsid w:val="47280D7A"/>
    <w:rsid w:val="47283A28"/>
    <w:rsid w:val="477C05A9"/>
    <w:rsid w:val="479A4731"/>
    <w:rsid w:val="47AB002E"/>
    <w:rsid w:val="47D56F9A"/>
    <w:rsid w:val="47E0648D"/>
    <w:rsid w:val="47E61CD2"/>
    <w:rsid w:val="47F34057"/>
    <w:rsid w:val="47F7774C"/>
    <w:rsid w:val="47F80436"/>
    <w:rsid w:val="481451C0"/>
    <w:rsid w:val="483A0118"/>
    <w:rsid w:val="484751FF"/>
    <w:rsid w:val="48A97C7D"/>
    <w:rsid w:val="48EC1B59"/>
    <w:rsid w:val="49023B19"/>
    <w:rsid w:val="494F4A20"/>
    <w:rsid w:val="4950370F"/>
    <w:rsid w:val="495A692F"/>
    <w:rsid w:val="497A2F9B"/>
    <w:rsid w:val="49B267A9"/>
    <w:rsid w:val="49BB1693"/>
    <w:rsid w:val="49D004EA"/>
    <w:rsid w:val="4A150A20"/>
    <w:rsid w:val="4A1C0802"/>
    <w:rsid w:val="4A250E10"/>
    <w:rsid w:val="4A293318"/>
    <w:rsid w:val="4A375B51"/>
    <w:rsid w:val="4A4628E8"/>
    <w:rsid w:val="4A4714AC"/>
    <w:rsid w:val="4A603492"/>
    <w:rsid w:val="4A672B61"/>
    <w:rsid w:val="4A78742E"/>
    <w:rsid w:val="4AAA0106"/>
    <w:rsid w:val="4AB851A6"/>
    <w:rsid w:val="4AE02FB9"/>
    <w:rsid w:val="4AFC4A17"/>
    <w:rsid w:val="4B3A5971"/>
    <w:rsid w:val="4B3C16B7"/>
    <w:rsid w:val="4B5A5923"/>
    <w:rsid w:val="4B7650AF"/>
    <w:rsid w:val="4B792982"/>
    <w:rsid w:val="4B850E79"/>
    <w:rsid w:val="4B88556D"/>
    <w:rsid w:val="4B927B48"/>
    <w:rsid w:val="4BA20532"/>
    <w:rsid w:val="4BA674C2"/>
    <w:rsid w:val="4BDF4C08"/>
    <w:rsid w:val="4BEE5948"/>
    <w:rsid w:val="4C506868"/>
    <w:rsid w:val="4C58104F"/>
    <w:rsid w:val="4C6D2C5D"/>
    <w:rsid w:val="4C943BD5"/>
    <w:rsid w:val="4CBB7C56"/>
    <w:rsid w:val="4CE71BB7"/>
    <w:rsid w:val="4D0F7985"/>
    <w:rsid w:val="4D2B1FE2"/>
    <w:rsid w:val="4D2C50B4"/>
    <w:rsid w:val="4D5137E5"/>
    <w:rsid w:val="4D54763F"/>
    <w:rsid w:val="4D742AA0"/>
    <w:rsid w:val="4D9C5B39"/>
    <w:rsid w:val="4DA756D3"/>
    <w:rsid w:val="4DBB08E7"/>
    <w:rsid w:val="4DBC342A"/>
    <w:rsid w:val="4DD775BB"/>
    <w:rsid w:val="4DED09E4"/>
    <w:rsid w:val="4DED0A3A"/>
    <w:rsid w:val="4E21448E"/>
    <w:rsid w:val="4EA6367E"/>
    <w:rsid w:val="4EA8761A"/>
    <w:rsid w:val="4EC26358"/>
    <w:rsid w:val="4EF858D8"/>
    <w:rsid w:val="4F404315"/>
    <w:rsid w:val="4F412314"/>
    <w:rsid w:val="4F6C2A58"/>
    <w:rsid w:val="4FA3118D"/>
    <w:rsid w:val="4FCC2DC1"/>
    <w:rsid w:val="4FDD0D70"/>
    <w:rsid w:val="4FE36568"/>
    <w:rsid w:val="4FF77D43"/>
    <w:rsid w:val="50186577"/>
    <w:rsid w:val="502C18A5"/>
    <w:rsid w:val="504421C5"/>
    <w:rsid w:val="507A5BD7"/>
    <w:rsid w:val="508A5D0A"/>
    <w:rsid w:val="50A50658"/>
    <w:rsid w:val="50AA3C8B"/>
    <w:rsid w:val="50AA775D"/>
    <w:rsid w:val="50BA2C29"/>
    <w:rsid w:val="50D72707"/>
    <w:rsid w:val="50E314D1"/>
    <w:rsid w:val="50F948BE"/>
    <w:rsid w:val="5126039D"/>
    <w:rsid w:val="512A4CD7"/>
    <w:rsid w:val="51575472"/>
    <w:rsid w:val="516967F6"/>
    <w:rsid w:val="516D2C28"/>
    <w:rsid w:val="519D405A"/>
    <w:rsid w:val="51B843F0"/>
    <w:rsid w:val="51B94ED7"/>
    <w:rsid w:val="51BA464E"/>
    <w:rsid w:val="51D10F21"/>
    <w:rsid w:val="51D7110F"/>
    <w:rsid w:val="51F42E57"/>
    <w:rsid w:val="521F7F6B"/>
    <w:rsid w:val="523C29F9"/>
    <w:rsid w:val="524D0136"/>
    <w:rsid w:val="526C166C"/>
    <w:rsid w:val="527459C4"/>
    <w:rsid w:val="527B1E3E"/>
    <w:rsid w:val="529658A2"/>
    <w:rsid w:val="52A25EB0"/>
    <w:rsid w:val="52B64C4C"/>
    <w:rsid w:val="52E4055D"/>
    <w:rsid w:val="5303679E"/>
    <w:rsid w:val="53091917"/>
    <w:rsid w:val="53092E2A"/>
    <w:rsid w:val="530E1B3F"/>
    <w:rsid w:val="535575FE"/>
    <w:rsid w:val="53663854"/>
    <w:rsid w:val="537F0E25"/>
    <w:rsid w:val="53A3401E"/>
    <w:rsid w:val="53AB368E"/>
    <w:rsid w:val="53BB012C"/>
    <w:rsid w:val="53BF582C"/>
    <w:rsid w:val="53D65339"/>
    <w:rsid w:val="53F42980"/>
    <w:rsid w:val="542B5FA6"/>
    <w:rsid w:val="545F31C7"/>
    <w:rsid w:val="546070C4"/>
    <w:rsid w:val="548852FC"/>
    <w:rsid w:val="549F154D"/>
    <w:rsid w:val="55284CC6"/>
    <w:rsid w:val="552C7FE8"/>
    <w:rsid w:val="55355A1E"/>
    <w:rsid w:val="55397F0E"/>
    <w:rsid w:val="55506A04"/>
    <w:rsid w:val="556103F9"/>
    <w:rsid w:val="55894230"/>
    <w:rsid w:val="55993698"/>
    <w:rsid w:val="55CB0574"/>
    <w:rsid w:val="55D15B48"/>
    <w:rsid w:val="55E91DD9"/>
    <w:rsid w:val="566E3280"/>
    <w:rsid w:val="568B37C9"/>
    <w:rsid w:val="56A20872"/>
    <w:rsid w:val="56B05B00"/>
    <w:rsid w:val="56C72714"/>
    <w:rsid w:val="56FD25EC"/>
    <w:rsid w:val="57275BEF"/>
    <w:rsid w:val="576C0E39"/>
    <w:rsid w:val="57C53E42"/>
    <w:rsid w:val="57E7078B"/>
    <w:rsid w:val="57E82D39"/>
    <w:rsid w:val="580035EF"/>
    <w:rsid w:val="5822736F"/>
    <w:rsid w:val="58263D74"/>
    <w:rsid w:val="582F06CE"/>
    <w:rsid w:val="583A53B2"/>
    <w:rsid w:val="584C4A1A"/>
    <w:rsid w:val="586D5EB3"/>
    <w:rsid w:val="58700DB1"/>
    <w:rsid w:val="587C6CFB"/>
    <w:rsid w:val="58CF558A"/>
    <w:rsid w:val="58E324EA"/>
    <w:rsid w:val="590C52A5"/>
    <w:rsid w:val="595543E8"/>
    <w:rsid w:val="597437BD"/>
    <w:rsid w:val="59924626"/>
    <w:rsid w:val="5998089F"/>
    <w:rsid w:val="59B54100"/>
    <w:rsid w:val="59C92C48"/>
    <w:rsid w:val="59CE3ABC"/>
    <w:rsid w:val="59CF71F9"/>
    <w:rsid w:val="59D97C98"/>
    <w:rsid w:val="59E0159B"/>
    <w:rsid w:val="59E86E3D"/>
    <w:rsid w:val="5A1049EA"/>
    <w:rsid w:val="5A395E7D"/>
    <w:rsid w:val="5A583841"/>
    <w:rsid w:val="5AB86FE7"/>
    <w:rsid w:val="5ACC69B8"/>
    <w:rsid w:val="5AD62A2D"/>
    <w:rsid w:val="5B34123B"/>
    <w:rsid w:val="5B371CA4"/>
    <w:rsid w:val="5B3A3046"/>
    <w:rsid w:val="5B643840"/>
    <w:rsid w:val="5B752236"/>
    <w:rsid w:val="5B7B1236"/>
    <w:rsid w:val="5B983842"/>
    <w:rsid w:val="5BA11BE8"/>
    <w:rsid w:val="5BB36D9C"/>
    <w:rsid w:val="5BDA1DF1"/>
    <w:rsid w:val="5BFB75E6"/>
    <w:rsid w:val="5C096276"/>
    <w:rsid w:val="5C414DE8"/>
    <w:rsid w:val="5C441A1C"/>
    <w:rsid w:val="5C5A6E5A"/>
    <w:rsid w:val="5CA754A5"/>
    <w:rsid w:val="5CDC5FCF"/>
    <w:rsid w:val="5CE95609"/>
    <w:rsid w:val="5D06004A"/>
    <w:rsid w:val="5D22207D"/>
    <w:rsid w:val="5D2A5E97"/>
    <w:rsid w:val="5D2B659A"/>
    <w:rsid w:val="5D2D156D"/>
    <w:rsid w:val="5D390032"/>
    <w:rsid w:val="5D6552AB"/>
    <w:rsid w:val="5D996205"/>
    <w:rsid w:val="5D9A3910"/>
    <w:rsid w:val="5DC332AD"/>
    <w:rsid w:val="5DC474FE"/>
    <w:rsid w:val="5DED583B"/>
    <w:rsid w:val="5E212400"/>
    <w:rsid w:val="5E271932"/>
    <w:rsid w:val="5E3774A1"/>
    <w:rsid w:val="5E3807BF"/>
    <w:rsid w:val="5E3A4BD3"/>
    <w:rsid w:val="5E8777FB"/>
    <w:rsid w:val="5E9178CF"/>
    <w:rsid w:val="5ED37B7C"/>
    <w:rsid w:val="5F0648AF"/>
    <w:rsid w:val="5F0E2E3E"/>
    <w:rsid w:val="5F1C17D3"/>
    <w:rsid w:val="5F450E1B"/>
    <w:rsid w:val="5F622FC3"/>
    <w:rsid w:val="5F683C00"/>
    <w:rsid w:val="5F8842BC"/>
    <w:rsid w:val="5F8E5EC0"/>
    <w:rsid w:val="5FAF67BD"/>
    <w:rsid w:val="5FBA236E"/>
    <w:rsid w:val="5FBA5BD8"/>
    <w:rsid w:val="5FBE1D4F"/>
    <w:rsid w:val="601121CA"/>
    <w:rsid w:val="60375E7C"/>
    <w:rsid w:val="603A53A0"/>
    <w:rsid w:val="603B6437"/>
    <w:rsid w:val="604B6BCB"/>
    <w:rsid w:val="604E6200"/>
    <w:rsid w:val="606C1EBE"/>
    <w:rsid w:val="606D5311"/>
    <w:rsid w:val="60733F65"/>
    <w:rsid w:val="608C4A55"/>
    <w:rsid w:val="60C06C9F"/>
    <w:rsid w:val="60DE530E"/>
    <w:rsid w:val="60F22800"/>
    <w:rsid w:val="60FD28F6"/>
    <w:rsid w:val="6115640E"/>
    <w:rsid w:val="612F4EA7"/>
    <w:rsid w:val="614D79B4"/>
    <w:rsid w:val="616468FD"/>
    <w:rsid w:val="616E6B55"/>
    <w:rsid w:val="618F5E5F"/>
    <w:rsid w:val="61934BCB"/>
    <w:rsid w:val="61D94AC0"/>
    <w:rsid w:val="61E737E4"/>
    <w:rsid w:val="61E813FE"/>
    <w:rsid w:val="61EE6E14"/>
    <w:rsid w:val="61FD653E"/>
    <w:rsid w:val="62030149"/>
    <w:rsid w:val="622E1541"/>
    <w:rsid w:val="623A2FE4"/>
    <w:rsid w:val="6243760D"/>
    <w:rsid w:val="62485783"/>
    <w:rsid w:val="625044AF"/>
    <w:rsid w:val="62A91BE6"/>
    <w:rsid w:val="63111600"/>
    <w:rsid w:val="631C1EC8"/>
    <w:rsid w:val="632645A4"/>
    <w:rsid w:val="632A36B3"/>
    <w:rsid w:val="632C3E73"/>
    <w:rsid w:val="634A52D0"/>
    <w:rsid w:val="635578E6"/>
    <w:rsid w:val="637C529F"/>
    <w:rsid w:val="644E78A8"/>
    <w:rsid w:val="6479417E"/>
    <w:rsid w:val="64850B81"/>
    <w:rsid w:val="64B6259F"/>
    <w:rsid w:val="64C059EA"/>
    <w:rsid w:val="64C96015"/>
    <w:rsid w:val="64E77032"/>
    <w:rsid w:val="64F24193"/>
    <w:rsid w:val="64FE7991"/>
    <w:rsid w:val="654A6167"/>
    <w:rsid w:val="657E720C"/>
    <w:rsid w:val="65834E5D"/>
    <w:rsid w:val="65C72C11"/>
    <w:rsid w:val="65DD2E1E"/>
    <w:rsid w:val="65E612DD"/>
    <w:rsid w:val="65FC3420"/>
    <w:rsid w:val="6608781E"/>
    <w:rsid w:val="66130E88"/>
    <w:rsid w:val="66174709"/>
    <w:rsid w:val="66244F2A"/>
    <w:rsid w:val="662634D6"/>
    <w:rsid w:val="662A7E6E"/>
    <w:rsid w:val="665B1C73"/>
    <w:rsid w:val="66AB2D52"/>
    <w:rsid w:val="66AD79DA"/>
    <w:rsid w:val="66AF0E04"/>
    <w:rsid w:val="66C927F5"/>
    <w:rsid w:val="66DD4B43"/>
    <w:rsid w:val="66EA05B9"/>
    <w:rsid w:val="66F315F2"/>
    <w:rsid w:val="67087822"/>
    <w:rsid w:val="67161AAD"/>
    <w:rsid w:val="67267D73"/>
    <w:rsid w:val="672C1EF4"/>
    <w:rsid w:val="67300F6A"/>
    <w:rsid w:val="673E4738"/>
    <w:rsid w:val="674D7A09"/>
    <w:rsid w:val="680C551E"/>
    <w:rsid w:val="680D77B7"/>
    <w:rsid w:val="68130433"/>
    <w:rsid w:val="68306BCC"/>
    <w:rsid w:val="68A86DF5"/>
    <w:rsid w:val="68D04302"/>
    <w:rsid w:val="68D47FCF"/>
    <w:rsid w:val="68F954C6"/>
    <w:rsid w:val="69035B20"/>
    <w:rsid w:val="694D0243"/>
    <w:rsid w:val="69503780"/>
    <w:rsid w:val="697B559B"/>
    <w:rsid w:val="6998287E"/>
    <w:rsid w:val="69A74752"/>
    <w:rsid w:val="69B410B9"/>
    <w:rsid w:val="69C0658D"/>
    <w:rsid w:val="69C63356"/>
    <w:rsid w:val="69CD45A5"/>
    <w:rsid w:val="69D34433"/>
    <w:rsid w:val="69EC2565"/>
    <w:rsid w:val="69EE0332"/>
    <w:rsid w:val="69F113AC"/>
    <w:rsid w:val="6A071CE9"/>
    <w:rsid w:val="6A0D631B"/>
    <w:rsid w:val="6A0E2DD6"/>
    <w:rsid w:val="6A1C2E40"/>
    <w:rsid w:val="6A301E0F"/>
    <w:rsid w:val="6A3F69BD"/>
    <w:rsid w:val="6A42219A"/>
    <w:rsid w:val="6A5D2146"/>
    <w:rsid w:val="6A691709"/>
    <w:rsid w:val="6A7518EC"/>
    <w:rsid w:val="6A7931BF"/>
    <w:rsid w:val="6AA100C3"/>
    <w:rsid w:val="6AB64B70"/>
    <w:rsid w:val="6AC36993"/>
    <w:rsid w:val="6AC564C1"/>
    <w:rsid w:val="6AFE7547"/>
    <w:rsid w:val="6B057A2B"/>
    <w:rsid w:val="6B346FF9"/>
    <w:rsid w:val="6B412C7D"/>
    <w:rsid w:val="6B4418D3"/>
    <w:rsid w:val="6B455206"/>
    <w:rsid w:val="6B467EDC"/>
    <w:rsid w:val="6B4733C1"/>
    <w:rsid w:val="6B6D3F3F"/>
    <w:rsid w:val="6B800DAF"/>
    <w:rsid w:val="6BA71499"/>
    <w:rsid w:val="6BBB0A41"/>
    <w:rsid w:val="6BC6715C"/>
    <w:rsid w:val="6BDF5845"/>
    <w:rsid w:val="6C0E7BD9"/>
    <w:rsid w:val="6C2814C5"/>
    <w:rsid w:val="6C432333"/>
    <w:rsid w:val="6C50185F"/>
    <w:rsid w:val="6C842A30"/>
    <w:rsid w:val="6C8E65B2"/>
    <w:rsid w:val="6CB40284"/>
    <w:rsid w:val="6CC23729"/>
    <w:rsid w:val="6CC42AF7"/>
    <w:rsid w:val="6CD52288"/>
    <w:rsid w:val="6CF1205D"/>
    <w:rsid w:val="6CFF7067"/>
    <w:rsid w:val="6D2C22BE"/>
    <w:rsid w:val="6D3B484F"/>
    <w:rsid w:val="6D426BAC"/>
    <w:rsid w:val="6D500CD8"/>
    <w:rsid w:val="6D7B5CD2"/>
    <w:rsid w:val="6D7C3F57"/>
    <w:rsid w:val="6D8F4704"/>
    <w:rsid w:val="6DA219AF"/>
    <w:rsid w:val="6DAC4431"/>
    <w:rsid w:val="6DBE23AA"/>
    <w:rsid w:val="6DE95211"/>
    <w:rsid w:val="6E193602"/>
    <w:rsid w:val="6E4918D7"/>
    <w:rsid w:val="6E6D5C6C"/>
    <w:rsid w:val="6E871911"/>
    <w:rsid w:val="6E8B036B"/>
    <w:rsid w:val="6EB732A3"/>
    <w:rsid w:val="6EF00A0C"/>
    <w:rsid w:val="6EF819A2"/>
    <w:rsid w:val="6F1E1328"/>
    <w:rsid w:val="6F4A3291"/>
    <w:rsid w:val="6F5C097C"/>
    <w:rsid w:val="6F5E79FA"/>
    <w:rsid w:val="6F642A9E"/>
    <w:rsid w:val="6F6F3387"/>
    <w:rsid w:val="6F727DC4"/>
    <w:rsid w:val="6F90766D"/>
    <w:rsid w:val="6FA3203E"/>
    <w:rsid w:val="6FDE7F41"/>
    <w:rsid w:val="6FE340E8"/>
    <w:rsid w:val="6FE636E2"/>
    <w:rsid w:val="6FFB1DF3"/>
    <w:rsid w:val="700C6931"/>
    <w:rsid w:val="70552C9E"/>
    <w:rsid w:val="70587363"/>
    <w:rsid w:val="70611FDF"/>
    <w:rsid w:val="70835CDB"/>
    <w:rsid w:val="7095172A"/>
    <w:rsid w:val="70DC51D4"/>
    <w:rsid w:val="70E508B7"/>
    <w:rsid w:val="70E56297"/>
    <w:rsid w:val="70EF39E3"/>
    <w:rsid w:val="70FD28BE"/>
    <w:rsid w:val="711300D5"/>
    <w:rsid w:val="712310A2"/>
    <w:rsid w:val="715228CD"/>
    <w:rsid w:val="715D0235"/>
    <w:rsid w:val="716D33C3"/>
    <w:rsid w:val="7174202F"/>
    <w:rsid w:val="719B6EF9"/>
    <w:rsid w:val="71B33562"/>
    <w:rsid w:val="71FE7309"/>
    <w:rsid w:val="7286412C"/>
    <w:rsid w:val="728B2852"/>
    <w:rsid w:val="72905C9A"/>
    <w:rsid w:val="72A05850"/>
    <w:rsid w:val="72AE47EA"/>
    <w:rsid w:val="72B0104D"/>
    <w:rsid w:val="72B36ADE"/>
    <w:rsid w:val="72BB407B"/>
    <w:rsid w:val="72F13E08"/>
    <w:rsid w:val="73185FA3"/>
    <w:rsid w:val="736D7BE3"/>
    <w:rsid w:val="73784A9A"/>
    <w:rsid w:val="7389715B"/>
    <w:rsid w:val="73A90ADD"/>
    <w:rsid w:val="73BC472B"/>
    <w:rsid w:val="73CB46C3"/>
    <w:rsid w:val="74041953"/>
    <w:rsid w:val="741F3742"/>
    <w:rsid w:val="743A0685"/>
    <w:rsid w:val="74797B1A"/>
    <w:rsid w:val="747B7C3A"/>
    <w:rsid w:val="748F7B17"/>
    <w:rsid w:val="75197544"/>
    <w:rsid w:val="751B0A94"/>
    <w:rsid w:val="755D280C"/>
    <w:rsid w:val="756A3232"/>
    <w:rsid w:val="75745AEF"/>
    <w:rsid w:val="759F09DC"/>
    <w:rsid w:val="75A03C8A"/>
    <w:rsid w:val="75A53515"/>
    <w:rsid w:val="75ED5D23"/>
    <w:rsid w:val="75FD161C"/>
    <w:rsid w:val="76145AD3"/>
    <w:rsid w:val="764055D4"/>
    <w:rsid w:val="764709DC"/>
    <w:rsid w:val="76595F91"/>
    <w:rsid w:val="768C4A6A"/>
    <w:rsid w:val="772567A1"/>
    <w:rsid w:val="774224E3"/>
    <w:rsid w:val="77A46EBC"/>
    <w:rsid w:val="77BE2401"/>
    <w:rsid w:val="77F326B2"/>
    <w:rsid w:val="78013060"/>
    <w:rsid w:val="785E221E"/>
    <w:rsid w:val="787E7313"/>
    <w:rsid w:val="78A309A6"/>
    <w:rsid w:val="78C13E4F"/>
    <w:rsid w:val="78EE5894"/>
    <w:rsid w:val="78FA58C6"/>
    <w:rsid w:val="790E75D1"/>
    <w:rsid w:val="79201FC0"/>
    <w:rsid w:val="7937196A"/>
    <w:rsid w:val="793B4DF1"/>
    <w:rsid w:val="7941642B"/>
    <w:rsid w:val="797274B7"/>
    <w:rsid w:val="798677EE"/>
    <w:rsid w:val="79AD1F06"/>
    <w:rsid w:val="79FF6948"/>
    <w:rsid w:val="7A0324AE"/>
    <w:rsid w:val="7A151374"/>
    <w:rsid w:val="7A360064"/>
    <w:rsid w:val="7A36248D"/>
    <w:rsid w:val="7A386331"/>
    <w:rsid w:val="7A446525"/>
    <w:rsid w:val="7A686741"/>
    <w:rsid w:val="7A6B686C"/>
    <w:rsid w:val="7A8C3631"/>
    <w:rsid w:val="7A944CC6"/>
    <w:rsid w:val="7AD4380A"/>
    <w:rsid w:val="7AE00E79"/>
    <w:rsid w:val="7B1E1DC6"/>
    <w:rsid w:val="7B2331D6"/>
    <w:rsid w:val="7B616E88"/>
    <w:rsid w:val="7B6B5157"/>
    <w:rsid w:val="7B6F5741"/>
    <w:rsid w:val="7BDE5A0E"/>
    <w:rsid w:val="7BF93283"/>
    <w:rsid w:val="7C0F556C"/>
    <w:rsid w:val="7C16410B"/>
    <w:rsid w:val="7C481B03"/>
    <w:rsid w:val="7C594F25"/>
    <w:rsid w:val="7C6A60FA"/>
    <w:rsid w:val="7C86235A"/>
    <w:rsid w:val="7C972095"/>
    <w:rsid w:val="7CA56A7B"/>
    <w:rsid w:val="7CA86AFD"/>
    <w:rsid w:val="7CAD43EA"/>
    <w:rsid w:val="7CB679FB"/>
    <w:rsid w:val="7CD143C9"/>
    <w:rsid w:val="7D00151F"/>
    <w:rsid w:val="7D00518C"/>
    <w:rsid w:val="7D30156F"/>
    <w:rsid w:val="7D4126DB"/>
    <w:rsid w:val="7D501B82"/>
    <w:rsid w:val="7D6A2A17"/>
    <w:rsid w:val="7D7B3CDC"/>
    <w:rsid w:val="7D7F4CFC"/>
    <w:rsid w:val="7D817FF3"/>
    <w:rsid w:val="7DA4161E"/>
    <w:rsid w:val="7DD4760B"/>
    <w:rsid w:val="7DF65706"/>
    <w:rsid w:val="7E144DA8"/>
    <w:rsid w:val="7E3422FB"/>
    <w:rsid w:val="7E51256E"/>
    <w:rsid w:val="7E8F108D"/>
    <w:rsid w:val="7EA662BA"/>
    <w:rsid w:val="7F417E51"/>
    <w:rsid w:val="7F511D2D"/>
    <w:rsid w:val="7F6627F6"/>
    <w:rsid w:val="7F7F692F"/>
    <w:rsid w:val="7F9164CE"/>
    <w:rsid w:val="7F9A0B67"/>
    <w:rsid w:val="7FAD623B"/>
    <w:rsid w:val="7FAF3FF1"/>
    <w:rsid w:val="7FF461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25"/>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29"/>
    <w:unhideWhenUsed/>
    <w:qFormat/>
    <w:uiPriority w:val="99"/>
    <w:pPr>
      <w:ind w:left="100" w:leftChars="2500"/>
    </w:pPr>
  </w:style>
  <w:style w:type="paragraph" w:styleId="8">
    <w:name w:val="Balloon Text"/>
    <w:basedOn w:val="1"/>
    <w:link w:val="33"/>
    <w:unhideWhenUsed/>
    <w:qFormat/>
    <w:uiPriority w:val="99"/>
    <w:rPr>
      <w:kern w:val="0"/>
      <w:sz w:val="18"/>
      <w:szCs w:val="18"/>
    </w:rPr>
  </w:style>
  <w:style w:type="paragraph" w:styleId="9">
    <w:name w:val="footer"/>
    <w:basedOn w:val="1"/>
    <w:link w:val="31"/>
    <w:unhideWhenUsed/>
    <w:qFormat/>
    <w:uiPriority w:val="99"/>
    <w:pPr>
      <w:tabs>
        <w:tab w:val="center" w:pos="4153"/>
        <w:tab w:val="right" w:pos="8306"/>
      </w:tabs>
      <w:snapToGrid w:val="0"/>
      <w:jc w:val="left"/>
    </w:pPr>
    <w:rPr>
      <w:kern w:val="0"/>
      <w:sz w:val="18"/>
      <w:szCs w:val="18"/>
    </w:rPr>
  </w:style>
  <w:style w:type="paragraph" w:styleId="10">
    <w:name w:val="header"/>
    <w:basedOn w:val="1"/>
    <w:link w:val="3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link w:val="6"/>
    <w:qFormat/>
    <w:uiPriority w:val="99"/>
    <w:rPr>
      <w:rFonts w:ascii="Times New Roman" w:hAnsi="Times New Roman" w:eastAsia="宋体" w:cs="Times New Roman"/>
    </w:rPr>
  </w:style>
  <w:style w:type="character" w:customStyle="1" w:styleId="23">
    <w:name w:val="标题 3 字符"/>
    <w:link w:val="5"/>
    <w:qFormat/>
    <w:uiPriority w:val="1"/>
    <w:rPr>
      <w:rFonts w:ascii="宋体" w:hAnsi="Times New Roman" w:eastAsia="宋体" w:cs="Times New Roman"/>
      <w:b/>
      <w:bCs/>
      <w:kern w:val="0"/>
      <w:sz w:val="20"/>
      <w:szCs w:val="21"/>
    </w:rPr>
  </w:style>
  <w:style w:type="character" w:customStyle="1" w:styleId="24">
    <w:name w:val="脚注文本 字符1"/>
    <w:link w:val="11"/>
    <w:semiHidden/>
    <w:qFormat/>
    <w:uiPriority w:val="99"/>
    <w:rPr>
      <w:rFonts w:ascii="Times New Roman" w:hAnsi="Times New Roman" w:eastAsia="宋体" w:cs="Times New Roman"/>
      <w:sz w:val="18"/>
      <w:szCs w:val="18"/>
    </w:rPr>
  </w:style>
  <w:style w:type="character" w:customStyle="1" w:styleId="25">
    <w:name w:val="标题 2 字符"/>
    <w:link w:val="4"/>
    <w:qFormat/>
    <w:uiPriority w:val="9"/>
    <w:rPr>
      <w:rFonts w:ascii="Cambria" w:hAnsi="Cambria" w:eastAsia="宋体" w:cs="Times New Roman"/>
      <w:b/>
      <w:bCs/>
      <w:kern w:val="0"/>
      <w:sz w:val="32"/>
      <w:szCs w:val="32"/>
    </w:rPr>
  </w:style>
  <w:style w:type="character" w:customStyle="1" w:styleId="26">
    <w:name w:val="正文文本 字符"/>
    <w:link w:val="2"/>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link w:val="14"/>
    <w:semiHidden/>
    <w:qFormat/>
    <w:uiPriority w:val="99"/>
    <w:rPr>
      <w:rFonts w:ascii="Times New Roman" w:hAnsi="Times New Roman" w:eastAsia="宋体" w:cs="Times New Roman"/>
      <w:b/>
      <w:bCs/>
    </w:rPr>
  </w:style>
  <w:style w:type="character" w:customStyle="1" w:styleId="29">
    <w:name w:val="日期 字符"/>
    <w:basedOn w:val="17"/>
    <w:link w:val="7"/>
    <w:semiHidden/>
    <w:qFormat/>
    <w:uiPriority w:val="99"/>
    <w:rPr>
      <w:rFonts w:ascii="Times New Roman" w:hAnsi="Times New Roman" w:eastAsia="宋体" w:cs="Times New Roman"/>
    </w:rPr>
  </w:style>
  <w:style w:type="character" w:customStyle="1" w:styleId="30">
    <w:name w:val="标题 1 字符"/>
    <w:link w:val="3"/>
    <w:qFormat/>
    <w:uiPriority w:val="1"/>
    <w:rPr>
      <w:rFonts w:ascii="黑体" w:hAnsi="Times New Roman" w:eastAsia="黑体" w:cs="Times New Roman"/>
      <w:b/>
      <w:bCs/>
      <w:kern w:val="0"/>
      <w:sz w:val="36"/>
      <w:szCs w:val="36"/>
    </w:rPr>
  </w:style>
  <w:style w:type="character" w:customStyle="1" w:styleId="31">
    <w:name w:val="页脚 字符"/>
    <w:link w:val="9"/>
    <w:qFormat/>
    <w:uiPriority w:val="99"/>
    <w:rPr>
      <w:rFonts w:ascii="Times New Roman" w:hAnsi="Times New Roman" w:eastAsia="宋体" w:cs="Times New Roman"/>
      <w:kern w:val="0"/>
      <w:sz w:val="18"/>
      <w:szCs w:val="18"/>
    </w:rPr>
  </w:style>
  <w:style w:type="character" w:customStyle="1" w:styleId="32">
    <w:name w:val="页眉 字符"/>
    <w:link w:val="10"/>
    <w:qFormat/>
    <w:uiPriority w:val="99"/>
    <w:rPr>
      <w:rFonts w:ascii="Times New Roman" w:hAnsi="Times New Roman" w:eastAsia="宋体" w:cs="Times New Roman"/>
      <w:kern w:val="0"/>
      <w:sz w:val="18"/>
      <w:szCs w:val="18"/>
    </w:rPr>
  </w:style>
  <w:style w:type="character" w:customStyle="1" w:styleId="33">
    <w:name w:val="批注框文本 字符"/>
    <w:link w:val="8"/>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Times New Roman"/>
      <w:b/>
      <w:bCs/>
      <w:kern w:val="0"/>
      <w:sz w:val="36"/>
      <w:szCs w:val="36"/>
    </w:rPr>
  </w:style>
  <w:style w:type="character" w:customStyle="1" w:styleId="39">
    <w:name w:val="标题 2 字符1"/>
    <w:link w:val="4"/>
    <w:qFormat/>
    <w:uiPriority w:val="9"/>
    <w:rPr>
      <w:rFonts w:ascii="Cambria" w:hAnsi="Cambria" w:eastAsia="宋体" w:cs="Times New Roman"/>
      <w:b/>
      <w:bCs/>
      <w:kern w:val="0"/>
      <w:sz w:val="32"/>
      <w:szCs w:val="32"/>
    </w:rPr>
  </w:style>
  <w:style w:type="character" w:customStyle="1" w:styleId="40">
    <w:name w:val="标题 3 字符1"/>
    <w:link w:val="5"/>
    <w:qFormat/>
    <w:uiPriority w:val="1"/>
    <w:rPr>
      <w:rFonts w:ascii="宋体" w:hAnsi="Times New Roman" w:eastAsia="宋体" w:cs="Times New Roman"/>
      <w:b/>
      <w:bCs/>
      <w:kern w:val="0"/>
      <w:sz w:val="20"/>
      <w:szCs w:val="21"/>
    </w:rPr>
  </w:style>
  <w:style w:type="character" w:customStyle="1" w:styleId="41">
    <w:name w:val="批注文字 字符1"/>
    <w:link w:val="6"/>
    <w:qFormat/>
    <w:uiPriority w:val="99"/>
    <w:rPr>
      <w:rFonts w:ascii="Times New Roman" w:hAnsi="Times New Roman" w:eastAsia="宋体" w:cs="Times New Roman"/>
    </w:rPr>
  </w:style>
  <w:style w:type="character" w:customStyle="1" w:styleId="42">
    <w:name w:val="正文文本 字符1"/>
    <w:link w:val="2"/>
    <w:qFormat/>
    <w:uiPriority w:val="1"/>
    <w:rPr>
      <w:rFonts w:ascii="宋体" w:hAnsi="Times New Roman" w:eastAsia="宋体" w:cs="Times New Roman"/>
      <w:kern w:val="0"/>
      <w:sz w:val="2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kern w:val="0"/>
      <w:sz w:val="18"/>
      <w:szCs w:val="18"/>
    </w:rPr>
  </w:style>
  <w:style w:type="character" w:customStyle="1" w:styleId="45">
    <w:name w:val="页脚 字符1"/>
    <w:link w:val="9"/>
    <w:qFormat/>
    <w:uiPriority w:val="99"/>
    <w:rPr>
      <w:rFonts w:ascii="Times New Roman" w:hAnsi="Times New Roman" w:eastAsia="宋体" w:cs="Times New Roman"/>
      <w:kern w:val="0"/>
      <w:sz w:val="18"/>
      <w:szCs w:val="18"/>
    </w:rPr>
  </w:style>
  <w:style w:type="character" w:customStyle="1" w:styleId="46">
    <w:name w:val="页眉 字符1"/>
    <w:link w:val="10"/>
    <w:qFormat/>
    <w:uiPriority w:val="99"/>
    <w:rPr>
      <w:rFonts w:ascii="Times New Roman" w:hAnsi="Times New Roman" w:eastAsia="宋体" w:cs="Times New Roman"/>
      <w:kern w:val="0"/>
      <w:sz w:val="18"/>
      <w:szCs w:val="18"/>
    </w:rPr>
  </w:style>
  <w:style w:type="character" w:customStyle="1" w:styleId="47">
    <w:name w:val="脚注文本 字符2"/>
    <w:link w:val="11"/>
    <w:semiHidden/>
    <w:qFormat/>
    <w:uiPriority w:val="99"/>
    <w:rPr>
      <w:rFonts w:ascii="Times New Roman" w:hAnsi="Times New Roman" w:eastAsia="宋体" w:cs="Times New Roman"/>
      <w:sz w:val="18"/>
      <w:szCs w:val="18"/>
    </w:rPr>
  </w:style>
  <w:style w:type="character" w:customStyle="1" w:styleId="48">
    <w:name w:val="批注主题 字符1"/>
    <w:link w:val="14"/>
    <w:semiHidden/>
    <w:qFormat/>
    <w:uiPriority w:val="99"/>
    <w:rPr>
      <w:rFonts w:ascii="Times New Roman" w:hAnsi="Times New Roman" w:eastAsia="宋体" w:cs="Times New Roman"/>
      <w:b/>
      <w:bCs/>
    </w:rPr>
  </w:style>
  <w:style w:type="paragraph" w:styleId="49">
    <w:name w:val=""/>
    <w:semiHidden/>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51"/>
    <customShpInfo spid="_x0000_s2052"/>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31</TotalTime>
  <ScaleCrop>false</ScaleCrop>
  <LinksUpToDate>false</LinksUpToDate>
  <CharactersWithSpaces>22805</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jsyh</cp:lastModifiedBy>
  <cp:lastPrinted>2024-07-15T08:58:00Z</cp:lastPrinted>
  <dcterms:modified xsi:type="dcterms:W3CDTF">2025-10-21T10:14:10Z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3D9DA4FEC1AC4898A5CD8A2776F83D6F</vt:lpwstr>
  </property>
</Properties>
</file>