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rPr>
        <w:pict>
          <v:shape id="文本框 3" o:spid="_x0000_s2050" o:spt="202" type="#_x0000_t202" style="position:absolute;left:0pt;margin-left:-23.8pt;margin-top:8pt;height:148.35pt;width:474.1pt;mso-position-horizontal-relative:margin;mso-wrap-distance-bottom:3.6pt;mso-wrap-distance-left:9pt;mso-wrap-distance-right:9pt;mso-wrap-distance-top:3.6pt;z-index:251659264;mso-width-relative:page;mso-height-relative:page;" filled="f" coordsize="21600,21600">
            <v:path/>
            <v:fill on="f" focussize="0,0"/>
            <v:stroke joinstyle="miter"/>
            <v:imagedata o:title=""/>
            <o:lock v:ext="edit"/>
            <v:textbox style="mso-fit-shape-to-text:t;">
              <w:txbxContent>
                <w:p>
                  <w:pPr>
                    <w:jc w:val="center"/>
                    <w:rPr>
                      <w:rFonts w:hint="eastAsia"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ind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产品</w:t>
                  </w:r>
                  <w:r>
                    <w:rPr>
                      <w:rFonts w:ascii="楷体" w:hAnsi="楷体" w:eastAsia="楷体" w:cs="宋体"/>
                      <w:b/>
                      <w:spacing w:val="-2"/>
                      <w:szCs w:val="21"/>
                      <w:u w:val="single"/>
                    </w:rPr>
                    <w:t>成立后设置封闭运作期，</w:t>
                  </w:r>
                  <w:r>
                    <w:rPr>
                      <w:rFonts w:hint="eastAsia" w:ascii="楷体" w:hAnsi="楷体" w:eastAsia="楷体" w:cs="宋体"/>
                      <w:b/>
                      <w:spacing w:val="-2"/>
                      <w:szCs w:val="21"/>
                      <w:u w:val="single"/>
                    </w:rPr>
                    <w:t>封闭运作期</w:t>
                  </w:r>
                  <w:r>
                    <w:rPr>
                      <w:rFonts w:ascii="楷体" w:hAnsi="楷体" w:eastAsia="楷体" w:cs="宋体"/>
                      <w:b/>
                      <w:spacing w:val="-2"/>
                      <w:szCs w:val="21"/>
                      <w:u w:val="single"/>
                    </w:rPr>
                    <w:t>内不可申购、赎回。</w:t>
                  </w:r>
                  <w:r>
                    <w:rPr>
                      <w:rFonts w:hint="eastAsia" w:ascii="楷体" w:hAnsi="楷体" w:eastAsia="楷体" w:cs="宋体"/>
                      <w:b/>
                      <w:spacing w:val="-2"/>
                      <w:szCs w:val="21"/>
                      <w:u w:val="single"/>
                    </w:rPr>
                    <w:t>本产品设置最短</w:t>
                  </w:r>
                  <w:r>
                    <w:rPr>
                      <w:rFonts w:ascii="楷体" w:hAnsi="楷体" w:eastAsia="楷体" w:cs="宋体"/>
                      <w:b/>
                      <w:spacing w:val="-2"/>
                      <w:szCs w:val="21"/>
                      <w:u w:val="single"/>
                    </w:rPr>
                    <w:t>持有期</w:t>
                  </w:r>
                  <w:r>
                    <w:rPr>
                      <w:rFonts w:hint="eastAsia" w:ascii="楷体" w:hAnsi="楷体" w:eastAsia="楷体" w:cs="宋体"/>
                      <w:b/>
                      <w:spacing w:val="-2"/>
                      <w:szCs w:val="21"/>
                      <w:u w:val="single"/>
                    </w:rPr>
                    <w:t>，</w:t>
                  </w:r>
                  <w:r>
                    <w:rPr>
                      <w:rFonts w:ascii="楷体" w:hAnsi="楷体" w:eastAsia="楷体" w:cs="宋体"/>
                      <w:b/>
                      <w:spacing w:val="-2"/>
                      <w:szCs w:val="21"/>
                      <w:u w:val="single"/>
                    </w:rPr>
                    <w:t>封闭运作期</w:t>
                  </w:r>
                  <w:r>
                    <w:rPr>
                      <w:rFonts w:hint="eastAsia" w:ascii="楷体" w:hAnsi="楷体" w:eastAsia="楷体" w:cs="宋体"/>
                      <w:b/>
                      <w:spacing w:val="-2"/>
                      <w:szCs w:val="21"/>
                      <w:u w:val="single"/>
                    </w:rPr>
                    <w:t>后，客户份额确认后持有时间超过14天，客户可自主发起赎回，14天</w:t>
                  </w:r>
                  <w:r>
                    <w:rPr>
                      <w:rFonts w:ascii="楷体" w:hAnsi="楷体" w:eastAsia="楷体" w:cs="宋体"/>
                      <w:b/>
                      <w:spacing w:val="-2"/>
                      <w:szCs w:val="21"/>
                      <w:u w:val="single"/>
                    </w:rPr>
                    <w:t>以内不可提出赎回申请</w:t>
                  </w:r>
                  <w:r>
                    <w:rPr>
                      <w:rFonts w:hint="eastAsia" w:ascii="楷体" w:hAnsi="楷体" w:eastAsia="楷体" w:cs="宋体"/>
                      <w:b/>
                      <w:spacing w:val="-2"/>
                      <w:szCs w:val="21"/>
                      <w:u w:val="single"/>
                    </w:rPr>
                    <w:t>。</w:t>
                  </w:r>
                </w:p>
                <w:p>
                  <w:pPr>
                    <w:numPr>
                      <w:ilvl w:val="0"/>
                      <w:numId w:val="1"/>
                    </w:numPr>
                    <w:ind w:left="363" w:hanging="363"/>
                    <w:rPr>
                      <w:rFonts w:hint="eastAsia" w:ascii="楷体" w:hAnsi="楷体" w:eastAsia="楷体" w:cs="宋体"/>
                      <w:b/>
                      <w:spacing w:val="-2"/>
                      <w:szCs w:val="21"/>
                      <w:u w:val="single"/>
                    </w:rPr>
                  </w:pPr>
                  <w:r>
                    <w:rPr>
                      <w:rFonts w:hint="eastAsia" w:ascii="楷体" w:hAnsi="楷体" w:eastAsia="楷体" w:cs="宋体"/>
                      <w:b/>
                      <w:spacing w:val="-2"/>
                      <w:szCs w:val="21"/>
                      <w:u w:val="single"/>
                    </w:rPr>
                    <w:t>本产品申购、</w:t>
                  </w:r>
                  <w:r>
                    <w:rPr>
                      <w:rFonts w:ascii="楷体" w:hAnsi="楷体" w:eastAsia="楷体" w:cs="宋体"/>
                      <w:b/>
                      <w:spacing w:val="-2"/>
                      <w:szCs w:val="21"/>
                      <w:u w:val="single"/>
                    </w:rPr>
                    <w:t>赎回</w:t>
                  </w:r>
                  <w:r>
                    <w:rPr>
                      <w:rFonts w:hint="eastAsia" w:ascii="楷体" w:hAnsi="楷体" w:eastAsia="楷体" w:cs="宋体"/>
                      <w:b/>
                      <w:spacing w:val="-2"/>
                      <w:szCs w:val="21"/>
                      <w:u w:val="single"/>
                    </w:rPr>
                    <w:t>受理</w:t>
                  </w:r>
                  <w:r>
                    <w:rPr>
                      <w:rFonts w:ascii="楷体" w:hAnsi="楷体" w:eastAsia="楷体" w:cs="宋体"/>
                      <w:b/>
                      <w:spacing w:val="-2"/>
                      <w:szCs w:val="21"/>
                      <w:u w:val="single"/>
                    </w:rPr>
                    <w:t>时间为</w:t>
                  </w:r>
                  <w:r>
                    <w:rPr>
                      <w:rFonts w:hint="eastAsia" w:ascii="楷体" w:hAnsi="楷体" w:eastAsia="楷体" w:cs="宋体"/>
                      <w:b/>
                      <w:spacing w:val="-2"/>
                      <w:szCs w:val="21"/>
                      <w:u w:val="single"/>
                    </w:rPr>
                    <w:t>每个工作日的9:00至17:00，客户赎回申请受制于产品巨额赎回条款的限制，这可能影响您的资金使用安排。</w:t>
                  </w:r>
                </w:p>
                <w:p>
                  <w:pPr>
                    <w:numPr>
                      <w:ilvl w:val="0"/>
                      <w:numId w:val="1"/>
                    </w:numPr>
                    <w:ind w:left="363" w:hanging="363"/>
                    <w:rPr>
                      <w:rFonts w:hint="eastAsia"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numPr>
                      <w:ilvl w:val="0"/>
                      <w:numId w:val="1"/>
                    </w:numPr>
                    <w:ind w:left="363" w:hanging="363"/>
                    <w:rPr>
                      <w:rFonts w:hint="eastAsia" w:ascii="楷体" w:hAnsi="楷体" w:eastAsia="楷体" w:cs="宋体"/>
                      <w:b/>
                      <w:spacing w:val="-2"/>
                      <w:szCs w:val="21"/>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numPr>
                      <w:ilvl w:val="0"/>
                      <w:numId w:val="1"/>
                    </w:numPr>
                    <w:rPr>
                      <w:rFonts w:hint="eastAsia" w:ascii="楷体" w:hAnsi="楷体" w:eastAsia="楷体" w:cs="宋体"/>
                      <w:b/>
                      <w:spacing w:val="-2"/>
                      <w:szCs w:val="21"/>
                      <w:u w:val="single"/>
                    </w:rPr>
                  </w:pPr>
                  <w:r>
                    <w:rPr>
                      <w:rFonts w:hint="eastAsia" w:ascii="楷体" w:hAnsi="楷体" w:eastAsia="楷体" w:cs="宋体"/>
                      <w:b/>
                      <w:spacing w:val="-2"/>
                      <w:szCs w:val="21"/>
                      <w:u w:val="single"/>
                    </w:rPr>
                    <w:t>客户服务热线：95319-8-2。</w:t>
                  </w:r>
                </w:p>
                <w:p>
                  <w:pPr>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“苏银理财恒源灵动最短持有14天14号”</w: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理财产品合同</w:t>
      </w:r>
    </w:p>
    <w:p>
      <w:pPr>
        <w:pStyle w:val="12"/>
        <w:spacing w:before="0" w:beforeAutospacing="0" w:after="0" w:afterAutospacing="0" w:line="360" w:lineRule="auto"/>
        <w:jc w:val="center"/>
        <w:rPr>
          <w:rFonts w:hint="eastAsia"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0" w:afterAutospacing="0" w:line="360" w:lineRule="auto"/>
        <w:jc w:val="center"/>
        <w:rPr>
          <w:rFonts w:hint="eastAsia" w:ascii="楷体" w:hAnsi="楷体" w:eastAsia="楷体"/>
          <w:b/>
        </w:rPr>
      </w:pPr>
      <w:r>
        <w:rPr>
          <w:rFonts w:hint="eastAsia" w:ascii="楷体" w:hAnsi="楷体" w:eastAsia="楷体"/>
          <w:b/>
        </w:rPr>
        <w:t>（202</w:t>
      </w:r>
      <w:r>
        <w:rPr>
          <w:rFonts w:hint="eastAsia" w:ascii="楷体" w:hAnsi="楷体" w:eastAsia="楷体"/>
          <w:b/>
          <w:lang w:val="en-US" w:eastAsia="zh-CN"/>
        </w:rPr>
        <w:t>6</w:t>
      </w:r>
      <w:r>
        <w:rPr>
          <w:rFonts w:hint="eastAsia" w:ascii="楷体" w:hAnsi="楷体" w:eastAsia="楷体"/>
          <w:b/>
        </w:rPr>
        <w:t>年</w:t>
      </w:r>
      <w:r>
        <w:rPr>
          <w:rFonts w:hint="eastAsia" w:ascii="楷体" w:hAnsi="楷体" w:eastAsia="楷体"/>
          <w:b/>
          <w:lang w:val="en-US" w:eastAsia="zh-CN"/>
        </w:rPr>
        <w:t>2</w:t>
      </w:r>
      <w:r>
        <w:rPr>
          <w:rFonts w:hint="eastAsia" w:ascii="楷体" w:hAnsi="楷体" w:eastAsia="楷体"/>
          <w:b/>
        </w:rPr>
        <w:t>月版）</w:t>
      </w:r>
      <w:bookmarkStart w:id="0" w:name="_GoBack"/>
      <w:bookmarkEnd w:id="0"/>
    </w:p>
    <w:p>
      <w:pPr>
        <w:pStyle w:val="12"/>
        <w:spacing w:before="0" w:beforeAutospacing="0" w:after="0" w:afterAutospacing="0" w:line="360" w:lineRule="auto"/>
        <w:rPr>
          <w:rFonts w:hint="eastAsia" w:ascii="楷体" w:hAnsi="楷体" w:eastAsia="楷体"/>
          <w:b/>
          <w:sz w:val="30"/>
          <w:szCs w:val="30"/>
        </w:rPr>
      </w:pPr>
    </w:p>
    <w:tbl>
      <w:tblPr>
        <w:tblStyle w:val="14"/>
        <w:tblW w:w="9196" w:type="dxa"/>
        <w:tblInd w:w="-299"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670"/>
        <w:gridCol w:w="253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Style w:val="17"/>
                <w:rFonts w:hint="eastAsia" w:ascii="楷体" w:hAnsi="楷体" w:eastAsia="楷体"/>
                <w:bCs w:val="0"/>
                <w:sz w:val="18"/>
                <w:szCs w:val="18"/>
              </w:rPr>
              <w:t>序号</w:t>
            </w:r>
          </w:p>
        </w:tc>
        <w:tc>
          <w:tcPr>
            <w:tcW w:w="5670"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Style w:val="17"/>
                <w:rFonts w:hint="eastAsia" w:ascii="楷体" w:hAnsi="楷体" w:eastAsia="楷体"/>
                <w:bCs w:val="0"/>
                <w:sz w:val="18"/>
                <w:szCs w:val="18"/>
              </w:rPr>
              <w:t>理财产品合同中的具体文件名称</w:t>
            </w:r>
          </w:p>
        </w:tc>
        <w:tc>
          <w:tcPr>
            <w:tcW w:w="253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Style w:val="17"/>
                <w:rFonts w:hint="eastAsia" w:ascii="楷体" w:hAnsi="楷体" w:eastAsia="楷体"/>
                <w:bCs w:val="0"/>
                <w:sz w:val="18"/>
                <w:szCs w:val="18"/>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1</w:t>
            </w:r>
          </w:p>
        </w:tc>
        <w:tc>
          <w:tcPr>
            <w:tcW w:w="5670"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“苏银理财恒源灵动最短持有14天14号”理财产品风险揭示书</w:t>
            </w:r>
          </w:p>
        </w:tc>
        <w:tc>
          <w:tcPr>
            <w:tcW w:w="253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2</w:t>
            </w:r>
          </w:p>
        </w:tc>
        <w:tc>
          <w:tcPr>
            <w:tcW w:w="5670"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“苏银理财恒源灵动最短持有14天14号”理财产品说明书</w:t>
            </w:r>
          </w:p>
        </w:tc>
        <w:tc>
          <w:tcPr>
            <w:tcW w:w="253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ascii="楷体" w:hAnsi="楷体" w:eastAsia="楷体"/>
                <w:sz w:val="18"/>
                <w:szCs w:val="18"/>
              </w:rPr>
              <w:t>3</w:t>
            </w:r>
          </w:p>
        </w:tc>
        <w:tc>
          <w:tcPr>
            <w:tcW w:w="5670"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苏银理财有限责任公司理财产品投资协议书</w:t>
            </w:r>
          </w:p>
        </w:tc>
        <w:tc>
          <w:tcPr>
            <w:tcW w:w="253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4</w:t>
            </w:r>
          </w:p>
        </w:tc>
        <w:tc>
          <w:tcPr>
            <w:tcW w:w="5670"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r>
              <w:rPr>
                <w:rStyle w:val="20"/>
                <w:rFonts w:hint="eastAsia" w:ascii="楷体" w:hAnsi="楷体" w:eastAsia="楷体"/>
                <w:sz w:val="18"/>
                <w:szCs w:val="18"/>
              </w:rPr>
              <w:footnoteReference w:id="0"/>
            </w:r>
          </w:p>
        </w:tc>
        <w:tc>
          <w:tcPr>
            <w:tcW w:w="253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670"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理财产品（代理）销售协议书</w:t>
            </w:r>
            <w:r>
              <w:rPr>
                <w:rStyle w:val="20"/>
                <w:rFonts w:ascii="楷体" w:hAnsi="楷体" w:eastAsia="楷体"/>
                <w:sz w:val="18"/>
                <w:szCs w:val="18"/>
              </w:rPr>
              <w:footnoteReference w:id="1"/>
            </w:r>
          </w:p>
        </w:tc>
        <w:tc>
          <w:tcPr>
            <w:tcW w:w="253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理财产品（代理）销售协议书</w:t>
            </w:r>
          </w:p>
        </w:tc>
      </w:tr>
    </w:tbl>
    <w:p>
      <w:pPr>
        <w:pStyle w:val="12"/>
        <w:rPr>
          <w:rFonts w:hint="eastAsia" w:ascii="楷体" w:hAnsi="楷体" w:eastAsia="楷体"/>
        </w:rPr>
      </w:pPr>
    </w:p>
    <w:p>
      <w:pPr>
        <w:pStyle w:val="12"/>
        <w:spacing w:before="0" w:beforeAutospacing="0" w:after="0" w:afterAutospacing="0" w:line="280" w:lineRule="atLeast"/>
        <w:rPr>
          <w:rFonts w:hint="eastAsia" w:ascii="楷体" w:hAnsi="楷体" w:eastAsia="楷体"/>
        </w:rPr>
      </w:pPr>
      <w:r>
        <w:rPr>
          <w:rStyle w:val="17"/>
          <w:rFonts w:hint="eastAsia" w:ascii="楷体" w:hAnsi="楷体" w:eastAsia="楷体"/>
          <w:bCs w:val="0"/>
        </w:rPr>
        <w:t>郑重提示：</w:t>
      </w:r>
    </w:p>
    <w:p>
      <w:pPr>
        <w:pStyle w:val="12"/>
        <w:spacing w:before="0" w:beforeAutospacing="0" w:after="0" w:afterAutospacing="0"/>
        <w:ind w:firstLine="480" w:firstLineChars="200"/>
        <w:rPr>
          <w:rFonts w:hint="eastAsia" w:ascii="楷体" w:hAnsi="楷体" w:eastAsia="楷体"/>
        </w:rPr>
      </w:pPr>
      <w:r>
        <w:rPr>
          <w:rFonts w:hint="eastAsia" w:ascii="楷体" w:hAnsi="楷体" w:eastAsia="楷体" w:cs="Times New Roman"/>
        </w:rPr>
        <w:t>《风险揭示书》、《理财产品说明书》、《理财产品（代理）销售协议书》、《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pageBreakBefore/>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“苏银理财恒源灵动最短持有14天14号”理财产品风险揭示书</w:t>
      </w:r>
    </w:p>
    <w:p>
      <w:pPr>
        <w:jc w:val="center"/>
        <w:outlineLvl w:val="1"/>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hint="eastAsia"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国家金融监督管理总局（以下简称“金融监管总局”）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理财产品（代理）销售协议书》），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0" w:firstLineChars="200"/>
        <w:outlineLvl w:val="1"/>
        <w:rPr>
          <w:rFonts w:hint="eastAsia" w:ascii="楷体" w:hAnsi="楷体" w:eastAsia="楷体"/>
          <w:sz w:val="24"/>
          <w:szCs w:val="24"/>
        </w:rPr>
      </w:pPr>
      <w:r>
        <w:rPr>
          <w:rFonts w:hint="eastAsia" w:ascii="楷体" w:hAnsi="楷体" w:eastAsia="楷体"/>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本理财产品投资的债券、股票等资产的价格受到经济因素、政治因素、投资心理和交易制度等各种因素的影响，可能导致本理财产品资产收益水平变化，投资者可能面临本金和收益遭受部分甚至全部损失的风险。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本金及理财产品收益风险：</w:t>
      </w:r>
      <w:r>
        <w:rPr>
          <w:rFonts w:hint="eastAsia" w:ascii="楷体" w:hAnsi="楷体" w:eastAsia="楷体"/>
          <w:sz w:val="24"/>
          <w:szCs w:val="24"/>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在本理财产品存续期内，投资者只能在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代销风险（如有）：</w:t>
      </w:r>
      <w:r>
        <w:rPr>
          <w:rFonts w:hint="eastAsia" w:ascii="楷体" w:hAnsi="楷体" w:eastAsia="楷体"/>
          <w:bCs/>
          <w:sz w:val="24"/>
          <w:szCs w:val="24"/>
        </w:rPr>
        <w:t>如</w:t>
      </w:r>
      <w:r>
        <w:rPr>
          <w:rFonts w:hint="eastAsia" w:ascii="楷体" w:hAnsi="楷体" w:eastAsia="楷体"/>
          <w:sz w:val="24"/>
          <w:szCs w:val="24"/>
        </w:rPr>
        <w:t>本产品通过代销渠道（非产品管理人自有渠道）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股票投资的特殊风险：</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国家货币政策、财政政策、产业政策等的变化对证券市场产生一定的影响，导致市场价格水平波动的风险。</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宏观经济运行周期性波动，对股票市场的收益水平产生影响的风险。</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上市公司的经营状况受多种因素影响，如市场、技术、竞争、管理、财务等都会导致公司盈利发生变化，从而导致股票价格变动的风险。</w:t>
      </w:r>
    </w:p>
    <w:p>
      <w:pPr>
        <w:numPr>
          <w:ilvl w:val="0"/>
          <w:numId w:val="4"/>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理财产品（代理）销售协议书前，应当仔细阅读风险揭示书、理财产品说明书、投资者权益须知、理财产品投资协议书及理财产品（代理）销售协议书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0" w:firstLineChars="200"/>
        <w:outlineLvl w:val="1"/>
        <w:rPr>
          <w:rFonts w:hint="eastAsia" w:ascii="楷体" w:hAnsi="楷体" w:eastAsia="楷体"/>
          <w:sz w:val="28"/>
          <w:szCs w:val="28"/>
        </w:rPr>
      </w:pPr>
      <w:r>
        <w:rPr>
          <w:rFonts w:hint="eastAsia" w:ascii="楷体" w:hAnsi="楷体" w:eastAsia="楷体"/>
          <w:sz w:val="28"/>
          <w:szCs w:val="28"/>
        </w:rPr>
        <w:t>投资者提示</w:t>
      </w:r>
    </w:p>
    <w:p>
      <w:pPr>
        <w:numPr>
          <w:ilvl w:val="0"/>
          <w:numId w:val="8"/>
        </w:numPr>
        <w:tabs>
          <w:tab w:val="left" w:pos="742"/>
        </w:tabs>
        <w:ind w:left="0" w:firstLine="482" w:firstLineChars="200"/>
        <w:rPr>
          <w:rFonts w:hint="eastAsia"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hint="eastAsia"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hint="eastAsia"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如本理财产品销售机构为江苏银行，则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u w:val="single"/>
        </w:rPr>
        <w:t>。</w:t>
      </w:r>
      <w:r>
        <w:rPr>
          <w:rFonts w:hint="eastAsia" w:ascii="楷体" w:hAnsi="楷体" w:eastAsia="楷体"/>
          <w:b/>
          <w:bCs/>
          <w:sz w:val="24"/>
          <w:szCs w:val="24"/>
          <w:u w:val="single"/>
        </w:rPr>
        <w:t>如本产品通过代理销售机构渠道销售，理财产品评级以代理销售机构最终披露的评级结果为准</w:t>
      </w:r>
      <w:r>
        <w:rPr>
          <w:rFonts w:hint="eastAsia" w:ascii="楷体" w:hAnsi="楷体" w:eastAsia="楷体"/>
          <w:b/>
          <w:sz w:val="24"/>
          <w:szCs w:val="24"/>
          <w:u w:val="single"/>
        </w:rPr>
        <w:t>。</w:t>
      </w:r>
    </w:p>
    <w:p>
      <w:pPr>
        <w:tabs>
          <w:tab w:val="left" w:pos="742"/>
        </w:tabs>
        <w:ind w:firstLine="480" w:firstLineChars="200"/>
        <w:rPr>
          <w:rFonts w:hint="eastAsia" w:ascii="楷体" w:hAnsi="楷体" w:eastAsia="楷体"/>
          <w:sz w:val="24"/>
          <w:szCs w:val="24"/>
        </w:rPr>
      </w:pPr>
      <w:r>
        <w:rPr>
          <w:rFonts w:hint="eastAsia" w:ascii="楷体" w:hAnsi="楷体" w:eastAsia="楷体"/>
          <w:sz w:val="24"/>
          <w:szCs w:val="24"/>
        </w:rPr>
        <w:t>5.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tabs>
          <w:tab w:val="left" w:pos="742"/>
        </w:tabs>
        <w:ind w:firstLine="480" w:firstLineChars="200"/>
        <w:rPr>
          <w:rFonts w:hint="eastAsia" w:ascii="楷体" w:hAnsi="楷体" w:eastAsia="楷体"/>
          <w:b/>
          <w:sz w:val="24"/>
          <w:szCs w:val="24"/>
        </w:rPr>
      </w:pPr>
      <w:r>
        <w:rPr>
          <w:rFonts w:hint="eastAsia" w:ascii="楷体" w:hAnsi="楷体" w:eastAsia="楷体"/>
          <w:sz w:val="24"/>
          <w:szCs w:val="24"/>
        </w:rPr>
        <w:t>6.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示例：如投资者购买本理财产品，本金为1万元，在理财产品资产组合项下资产全部亏损的最不利情况下，理财产品1万元本金将全部损失。</w:t>
      </w:r>
    </w:p>
    <w:p>
      <w:pPr>
        <w:autoSpaceDE w:val="0"/>
        <w:autoSpaceDN w:val="0"/>
        <w:adjustRightInd w:val="0"/>
        <w:ind w:firstLine="424" w:firstLineChars="177"/>
        <w:jc w:val="left"/>
        <w:rPr>
          <w:rFonts w:hint="eastAsia" w:ascii="楷体" w:hAnsi="楷体" w:eastAsia="楷体"/>
          <w:sz w:val="24"/>
          <w:szCs w:val="24"/>
        </w:rPr>
      </w:pPr>
      <w:r>
        <w:rPr>
          <w:rFonts w:hint="eastAsia" w:ascii="楷体" w:hAnsi="楷体" w:eastAsia="楷体"/>
          <w:sz w:val="24"/>
          <w:szCs w:val="24"/>
        </w:rPr>
        <w:t>7.苏银理财及销售机构将根据相关法律、法规严格履行投资者信息保密责任，除监管机构或司法机关等有权机构外，不得对其他第三方提供任何投资者信息。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hint="eastAsia" w:ascii="楷体" w:hAnsi="楷体" w:eastAsia="楷体" w:cs="宋体"/>
          <w:b/>
          <w:kern w:val="0"/>
          <w:sz w:val="24"/>
          <w:szCs w:val="24"/>
        </w:rPr>
      </w:pPr>
    </w:p>
    <w:p>
      <w:pPr>
        <w:pStyle w:val="12"/>
        <w:spacing w:before="0" w:beforeAutospacing="0" w:after="0" w:afterAutospacing="0" w:line="360" w:lineRule="auto"/>
        <w:ind w:left="420"/>
        <w:jc w:val="right"/>
        <w:rPr>
          <w:rFonts w:hint="eastAsia" w:ascii="楷体" w:hAnsi="楷体" w:eastAsia="楷体"/>
          <w:b/>
        </w:rPr>
      </w:pPr>
      <w:r>
        <w:rPr>
          <w:rFonts w:hint="eastAsia" w:ascii="楷体" w:hAnsi="楷体" w:eastAsia="楷体"/>
          <w:b/>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r>
        <w:rPr>
          <w:rFonts w:ascii="楷体" w:hAnsi="楷体" w:eastAsia="楷体"/>
          <w:b/>
        </w:rPr>
        <w:br w:type="page"/>
      </w:r>
    </w:p>
    <w:p>
      <w:pPr>
        <w:pStyle w:val="12"/>
        <w:spacing w:before="0" w:beforeAutospacing="0" w:after="0" w:afterAutospacing="0" w:line="360" w:lineRule="auto"/>
        <w:jc w:val="center"/>
        <w:outlineLvl w:val="0"/>
        <w:rPr>
          <w:rFonts w:hint="eastAsia" w:ascii="楷体" w:hAnsi="楷体" w:eastAsia="楷体"/>
          <w:b/>
          <w:sz w:val="36"/>
          <w:szCs w:val="36"/>
        </w:rPr>
      </w:pP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投资者风险确认函</w:t>
      </w:r>
    </w:p>
    <w:p>
      <w:pPr>
        <w:pStyle w:val="12"/>
        <w:spacing w:before="0" w:beforeAutospacing="0" w:after="0" w:afterAutospacing="0" w:line="360" w:lineRule="auto"/>
        <w:jc w:val="center"/>
        <w:outlineLvl w:val="0"/>
        <w:rPr>
          <w:rFonts w:hint="eastAsia" w:ascii="楷体" w:hAnsi="楷体" w:eastAsia="楷体"/>
          <w:b/>
          <w:sz w:val="36"/>
          <w:szCs w:val="36"/>
        </w:rPr>
      </w:pPr>
    </w:p>
    <w:p>
      <w:pPr>
        <w:numPr>
          <w:ilvl w:val="0"/>
          <w:numId w:val="9"/>
        </w:numPr>
        <w:tabs>
          <w:tab w:val="left" w:pos="1134"/>
        </w:tabs>
        <w:ind w:firstLine="560" w:firstLineChars="200"/>
        <w:outlineLvl w:val="0"/>
        <w:rPr>
          <w:rFonts w:hint="eastAsia" w:ascii="楷体" w:hAnsi="楷体" w:eastAsia="楷体"/>
          <w:sz w:val="28"/>
          <w:szCs w:val="28"/>
        </w:rPr>
      </w:pPr>
      <w:r>
        <w:rPr>
          <w:rFonts w:hint="eastAsia" w:ascii="楷体" w:hAnsi="楷体" w:eastAsia="楷体"/>
          <w:sz w:val="28"/>
          <w:szCs w:val="28"/>
        </w:rPr>
        <w:t>个人投资者确认</w:t>
      </w:r>
    </w:p>
    <w:p>
      <w:pPr>
        <w:ind w:firstLine="480" w:firstLineChars="200"/>
        <w:rPr>
          <w:rFonts w:hint="eastAsia"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理财产品（代理）销售协议书），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hint="eastAsia" w:ascii="楷体" w:hAnsi="楷体" w:eastAsia="楷体"/>
          <w:sz w:val="24"/>
          <w:szCs w:val="24"/>
        </w:rPr>
      </w:pPr>
      <w:r>
        <w:rPr>
          <w:rFonts w:hint="eastAsia" w:ascii="楷体" w:hAnsi="楷体" w:eastAsia="楷体"/>
          <w:sz w:val="24"/>
          <w:szCs w:val="24"/>
        </w:rPr>
        <w:t>风险承受能力不低于本理财产品的风险评级，适合购买本理财产品。如风险承受能力评估已超过一年，</w:t>
      </w:r>
      <w:r>
        <w:rPr>
          <w:rFonts w:ascii="楷体" w:hAnsi="楷体" w:eastAsia="楷体"/>
          <w:sz w:val="24"/>
          <w:szCs w:val="24"/>
        </w:rPr>
        <w:t>或</w:t>
      </w:r>
      <w:r>
        <w:rPr>
          <w:rFonts w:hint="eastAsia" w:ascii="楷体" w:hAnsi="楷体" w:eastAsia="楷体"/>
          <w:sz w:val="24"/>
          <w:szCs w:val="24"/>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0" w:firstLineChars="200"/>
        <w:outlineLvl w:val="0"/>
        <w:rPr>
          <w:rFonts w:hint="eastAsia" w:ascii="楷体" w:hAnsi="楷体" w:eastAsia="楷体"/>
          <w:sz w:val="28"/>
          <w:szCs w:val="28"/>
        </w:rPr>
      </w:pPr>
      <w:r>
        <w:rPr>
          <w:rFonts w:hint="eastAsia" w:ascii="楷体" w:hAnsi="楷体" w:eastAsia="楷体"/>
          <w:sz w:val="28"/>
          <w:szCs w:val="28"/>
        </w:rPr>
        <w:t>机构投资者确认</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机构已经收到本理财产品的风险揭示书，且已经认真阅读本理财产品完整合同（包括风险揭示书、理财产品说明书、投资者权益须知、理财产品投资协议书和理财产品（代理）销售协议书）</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机构投资者（盖章）：</w:t>
      </w: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rPr>
        <w:t xml:space="preserve"> </w:t>
      </w:r>
      <w:r>
        <w:rPr>
          <w:rFonts w:hint="eastAsia" w:ascii="楷体" w:hAnsi="楷体" w:eastAsia="楷体"/>
          <w:b/>
          <w:sz w:val="36"/>
          <w:szCs w:val="36"/>
        </w:rPr>
        <w:t>“苏银理财恒源灵动最短持有14天14号”</w:t>
      </w:r>
    </w:p>
    <w:p>
      <w:pPr>
        <w:pStyle w:val="12"/>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理财产品说明书</w:t>
      </w:r>
    </w:p>
    <w:p>
      <w:pPr>
        <w:jc w:val="center"/>
        <w:outlineLvl w:val="1"/>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rPr>
      </w:pPr>
      <w:r>
        <w:rPr>
          <w:rFonts w:hint="eastAsia" w:ascii="楷体" w:hAnsi="楷体" w:eastAsia="楷体"/>
          <w:b/>
          <w:sz w:val="28"/>
          <w:szCs w:val="28"/>
        </w:rPr>
        <w:t>重要须知</w:t>
      </w:r>
    </w:p>
    <w:p>
      <w:pPr>
        <w:numPr>
          <w:ilvl w:val="0"/>
          <w:numId w:val="10"/>
        </w:numPr>
        <w:rPr>
          <w:rFonts w:hint="eastAsia"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0"/>
        </w:numPr>
        <w:rPr>
          <w:rFonts w:hint="eastAsia"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0"/>
        </w:numPr>
        <w:rPr>
          <w:rFonts w:hint="eastAsia"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0"/>
        </w:numPr>
        <w:rPr>
          <w:rFonts w:hint="eastAsia"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0"/>
        </w:numPr>
        <w:rPr>
          <w:rFonts w:hint="eastAsia"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如有）、其他风险等。请仔细阅读《“苏银理财恒源灵动最短持有14天14号”理财产品风险揭示书》的“风险揭示”部分。</w:t>
      </w:r>
    </w:p>
    <w:p>
      <w:pPr>
        <w:numPr>
          <w:ilvl w:val="0"/>
          <w:numId w:val="10"/>
        </w:numPr>
        <w:rPr>
          <w:rFonts w:hint="eastAsia"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0"/>
        </w:numPr>
        <w:rPr>
          <w:rFonts w:hint="eastAsia"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sz w:val="24"/>
          <w:szCs w:val="24"/>
          <w:u w:val="single"/>
        </w:rPr>
        <w:t>。</w:t>
      </w:r>
    </w:p>
    <w:p>
      <w:pPr>
        <w:numPr>
          <w:ilvl w:val="0"/>
          <w:numId w:val="10"/>
        </w:numPr>
        <w:rPr>
          <w:rFonts w:hint="eastAsia" w:ascii="楷体" w:hAnsi="楷体" w:eastAsia="楷体"/>
          <w:sz w:val="24"/>
          <w:szCs w:val="24"/>
        </w:rPr>
      </w:pPr>
      <w:r>
        <w:rPr>
          <w:rFonts w:hint="eastAsia" w:ascii="楷体" w:hAnsi="楷体" w:eastAsia="楷体"/>
          <w:sz w:val="24"/>
          <w:szCs w:val="24"/>
        </w:rPr>
        <w:t>为贯彻落实金融监管总局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0"/>
        </w:numPr>
        <w:rPr>
          <w:rFonts w:hint="eastAsia"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0"/>
        </w:numPr>
        <w:rPr>
          <w:rFonts w:hint="eastAsia"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0"/>
        </w:numPr>
        <w:rPr>
          <w:rFonts w:hint="eastAsia" w:ascii="楷体" w:hAnsi="楷体" w:eastAsia="楷体"/>
          <w:sz w:val="24"/>
          <w:szCs w:val="24"/>
        </w:rPr>
      </w:pPr>
      <w:r>
        <w:rPr>
          <w:rFonts w:hint="eastAsia" w:ascii="楷体" w:hAnsi="楷体" w:eastAsia="楷体"/>
          <w:sz w:val="24"/>
          <w:szCs w:val="24"/>
        </w:rPr>
        <w:t>本理财产品说明书在法律许可的范围内由苏银理财负责解释。</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4"/>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苏银理财恒源灵动最短持有14天14号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Z7003125000172</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fldChar w:fldCharType="begin"/>
            </w:r>
            <w:r>
              <w:instrText xml:space="preserve"> HYPERLINK "http://www.chinawealth.com.cn/" </w:instrText>
            </w:r>
            <w: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vAlign w:val="center"/>
          </w:tcPr>
          <w:p>
            <w:pPr>
              <w:pStyle w:val="32"/>
              <w:kinsoku w:val="0"/>
              <w:overflowPunct w:val="0"/>
              <w:ind w:left="63" w:leftChars="30" w:right="63" w:rightChars="30"/>
              <w:jc w:val="both"/>
              <w:rPr>
                <w:rFonts w:hint="eastAsia" w:ascii="楷体" w:hAnsi="楷体" w:eastAsia="楷体"/>
                <w:spacing w:val="-2"/>
                <w:sz w:val="21"/>
                <w:szCs w:val="21"/>
              </w:rPr>
            </w:pPr>
            <w:r>
              <w:rPr>
                <w:rFonts w:hint="eastAsia" w:ascii="楷体" w:hAnsi="楷体" w:eastAsia="楷体" w:cs="宋体"/>
                <w:spacing w:val="-2"/>
                <w:sz w:val="21"/>
                <w:szCs w:val="21"/>
              </w:rPr>
              <w:t>A份额：苏银理财恒源灵动最短持有14天14号A/</w:t>
            </w:r>
            <w:r>
              <w:rPr>
                <w:rFonts w:hint="eastAsia" w:ascii="楷体" w:hAnsi="楷体" w:eastAsia="楷体"/>
                <w:spacing w:val="-2"/>
                <w:sz w:val="21"/>
                <w:szCs w:val="21"/>
              </w:rPr>
              <w:t>J05005</w:t>
            </w:r>
          </w:p>
          <w:p>
            <w:pPr>
              <w:pStyle w:val="32"/>
              <w:kinsoku w:val="0"/>
              <w:overflowPunct w:val="0"/>
              <w:ind w:left="63" w:leftChars="30" w:right="63" w:rightChars="30"/>
              <w:jc w:val="both"/>
              <w:rPr>
                <w:rFonts w:hint="eastAsia" w:ascii="楷体" w:hAnsi="楷体" w:eastAsia="楷体"/>
                <w:spacing w:val="-2"/>
                <w:sz w:val="21"/>
                <w:szCs w:val="21"/>
              </w:rPr>
            </w:pPr>
            <w:r>
              <w:rPr>
                <w:rFonts w:hint="eastAsia" w:ascii="楷体" w:hAnsi="楷体" w:eastAsia="楷体" w:cs="宋体"/>
                <w:spacing w:val="-2"/>
                <w:sz w:val="21"/>
                <w:szCs w:val="21"/>
              </w:rPr>
              <w:t>F份额：苏银理财恒源灵动最短持有14天14号F/</w:t>
            </w:r>
            <w:r>
              <w:rPr>
                <w:rFonts w:hint="eastAsia" w:ascii="楷体" w:hAnsi="楷体" w:eastAsia="楷体"/>
                <w:spacing w:val="-2"/>
                <w:sz w:val="21"/>
                <w:szCs w:val="21"/>
              </w:rPr>
              <w:t>J05006</w:t>
            </w:r>
          </w:p>
          <w:p>
            <w:pPr>
              <w:pStyle w:val="32"/>
              <w:kinsoku w:val="0"/>
              <w:overflowPunct w:val="0"/>
              <w:ind w:left="63" w:leftChars="30" w:right="63" w:rightChars="30"/>
              <w:jc w:val="both"/>
              <w:rPr>
                <w:rFonts w:hint="eastAsia" w:ascii="楷体" w:hAnsi="楷体" w:eastAsia="楷体"/>
                <w:spacing w:val="-2"/>
                <w:sz w:val="21"/>
                <w:szCs w:val="21"/>
              </w:rPr>
            </w:pPr>
            <w:r>
              <w:rPr>
                <w:rFonts w:hint="eastAsia" w:ascii="楷体" w:hAnsi="楷体" w:eastAsia="楷体" w:cs="宋体"/>
                <w:spacing w:val="-2"/>
                <w:sz w:val="21"/>
                <w:szCs w:val="21"/>
              </w:rPr>
              <w:t>G份额：苏银理财恒源灵动最短持有14天14号G/</w:t>
            </w:r>
            <w:r>
              <w:rPr>
                <w:rFonts w:hint="eastAsia" w:ascii="楷体" w:hAnsi="楷体" w:eastAsia="楷体"/>
                <w:spacing w:val="-2"/>
                <w:sz w:val="21"/>
                <w:szCs w:val="21"/>
              </w:rPr>
              <w:t>J05007</w:t>
            </w:r>
          </w:p>
          <w:p>
            <w:pPr>
              <w:pStyle w:val="32"/>
              <w:kinsoku w:val="0"/>
              <w:overflowPunct w:val="0"/>
              <w:ind w:left="63" w:leftChars="30" w:right="63" w:rightChars="30"/>
              <w:jc w:val="both"/>
              <w:rPr>
                <w:rFonts w:hint="eastAsia" w:ascii="楷体" w:hAnsi="楷体" w:eastAsia="楷体"/>
                <w:spacing w:val="-2"/>
                <w:sz w:val="21"/>
                <w:szCs w:val="21"/>
              </w:rPr>
            </w:pPr>
            <w:r>
              <w:rPr>
                <w:rFonts w:hint="eastAsia" w:ascii="楷体" w:hAnsi="楷体" w:eastAsia="楷体" w:cs="宋体"/>
                <w:spacing w:val="-2"/>
                <w:sz w:val="21"/>
                <w:szCs w:val="21"/>
              </w:rPr>
              <w:t>H份额：苏银理财恒源灵动最短持有14天14号H/</w:t>
            </w:r>
            <w:r>
              <w:rPr>
                <w:rFonts w:hint="eastAsia" w:ascii="楷体" w:hAnsi="楷体" w:eastAsia="楷体"/>
                <w:spacing w:val="-2"/>
                <w:sz w:val="21"/>
                <w:szCs w:val="21"/>
              </w:rPr>
              <w:t>J05008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苏银理财有限责任公司，详见下文“产品管理人”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江苏银行股份有限公司，详见下文“产品托管人”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vAlign w:val="center"/>
          </w:tcPr>
          <w:p>
            <w:pPr>
              <w:pStyle w:val="32"/>
              <w:kinsoku w:val="0"/>
              <w:overflowPunct w:val="0"/>
              <w:ind w:left="63" w:leftChars="30" w:right="63" w:rightChars="30"/>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1、★★二级，</w:t>
            </w:r>
            <w:r>
              <w:rPr>
                <w:rFonts w:hint="eastAsia" w:ascii="楷体" w:hAnsi="楷体" w:eastAsia="楷体" w:cs="宋体"/>
                <w:spacing w:val="-2"/>
                <w:sz w:val="21"/>
                <w:szCs w:val="21"/>
              </w:rPr>
              <w:t>本评级为苏银理财有限责任公司内部评级，由苏银理财根据理财产品的投资组合、同类产品过往业绩和风险状况等因素，对理财产品进行评级，仅供客户参考。</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b/>
                <w:spacing w:val="-2"/>
                <w:sz w:val="21"/>
                <w:szCs w:val="21"/>
                <w:u w:val="single"/>
              </w:rPr>
              <w:t>3、如本产品</w:t>
            </w:r>
            <w:r>
              <w:rPr>
                <w:rFonts w:ascii="楷体" w:hAnsi="楷体" w:eastAsia="楷体" w:cs="宋体"/>
                <w:b/>
                <w:spacing w:val="-2"/>
                <w:sz w:val="21"/>
                <w:szCs w:val="21"/>
                <w:u w:val="single"/>
              </w:rPr>
              <w:t>通过代理销售机构渠道销售，理财产品评级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vAlign w:val="center"/>
          </w:tcPr>
          <w:p>
            <w:pPr>
              <w:pStyle w:val="32"/>
              <w:kinsoku w:val="0"/>
              <w:overflowPunct w:val="0"/>
              <w:ind w:left="63" w:leftChars="30" w:right="63" w:rightChars="30"/>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份额最低持有期</w:t>
            </w:r>
          </w:p>
        </w:tc>
        <w:tc>
          <w:tcPr>
            <w:tcW w:w="6614" w:type="dxa"/>
            <w:vAlign w:val="center"/>
          </w:tcPr>
          <w:p>
            <w:pPr>
              <w:pStyle w:val="32"/>
              <w:kinsoku w:val="0"/>
              <w:overflowPunct w:val="0"/>
              <w:ind w:left="63" w:leftChars="30" w:right="63" w:rightChars="30"/>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14天。募集期内认购的份额从成立日起最低持有期为32天，封闭期内</w:t>
            </w:r>
            <w:r>
              <w:rPr>
                <w:rFonts w:ascii="楷体" w:hAnsi="楷体" w:eastAsia="楷体" w:cs="宋体"/>
                <w:b/>
                <w:spacing w:val="-2"/>
                <w:sz w:val="21"/>
                <w:szCs w:val="21"/>
                <w:u w:val="single"/>
              </w:rPr>
              <w:t>不可提出赎回申请</w:t>
            </w:r>
            <w:r>
              <w:rPr>
                <w:rFonts w:hint="eastAsia" w:ascii="楷体" w:hAnsi="楷体" w:eastAsia="楷体" w:cs="宋体"/>
                <w:b/>
                <w:spacing w:val="-2"/>
                <w:sz w:val="21"/>
                <w:szCs w:val="21"/>
                <w:u w:val="single"/>
              </w:rPr>
              <w:t>；存续期内申购</w:t>
            </w:r>
            <w:r>
              <w:rPr>
                <w:rFonts w:ascii="楷体" w:hAnsi="楷体" w:eastAsia="楷体" w:cs="宋体"/>
                <w:b/>
                <w:spacing w:val="-2"/>
                <w:sz w:val="21"/>
                <w:szCs w:val="21"/>
                <w:u w:val="single"/>
              </w:rPr>
              <w:t>份额自确认日起最低持有</w:t>
            </w:r>
            <w:r>
              <w:rPr>
                <w:rFonts w:hint="eastAsia" w:ascii="楷体" w:hAnsi="楷体" w:eastAsia="楷体" w:cs="宋体"/>
                <w:b/>
                <w:spacing w:val="-2"/>
                <w:sz w:val="21"/>
                <w:szCs w:val="21"/>
                <w:u w:val="single"/>
              </w:rPr>
              <w:t>14天</w:t>
            </w:r>
            <w:r>
              <w:rPr>
                <w:rFonts w:ascii="楷体" w:hAnsi="楷体" w:eastAsia="楷体" w:cs="宋体"/>
                <w:b/>
                <w:spacing w:val="-2"/>
                <w:sz w:val="21"/>
                <w:szCs w:val="21"/>
                <w:u w:val="single"/>
              </w:rPr>
              <w:t>，</w:t>
            </w:r>
            <w:r>
              <w:rPr>
                <w:rFonts w:hint="eastAsia" w:ascii="楷体" w:hAnsi="楷体" w:eastAsia="楷体" w:cs="宋体"/>
                <w:b/>
                <w:spacing w:val="-2"/>
                <w:sz w:val="21"/>
                <w:szCs w:val="21"/>
                <w:u w:val="single"/>
              </w:rPr>
              <w:t>14天</w:t>
            </w:r>
            <w:r>
              <w:rPr>
                <w:rFonts w:ascii="楷体" w:hAnsi="楷体" w:eastAsia="楷体" w:cs="宋体"/>
                <w:b/>
                <w:spacing w:val="-2"/>
                <w:sz w:val="21"/>
                <w:szCs w:val="21"/>
                <w:u w:val="single"/>
              </w:rPr>
              <w:t>以内不可提出赎回申请。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color w:val="000000"/>
                <w:spacing w:val="-2"/>
                <w:sz w:val="21"/>
                <w:szCs w:val="21"/>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初始募集规模1亿元。</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产品</w:t>
            </w:r>
            <w:r>
              <w:rPr>
                <w:rFonts w:ascii="楷体" w:hAnsi="楷体" w:eastAsia="楷体" w:cs="宋体"/>
                <w:spacing w:val="-2"/>
                <w:sz w:val="21"/>
                <w:szCs w:val="21"/>
              </w:rPr>
              <w:t>存续期内，产品募集规模上限</w:t>
            </w:r>
            <w:r>
              <w:rPr>
                <w:rFonts w:hint="eastAsia" w:ascii="楷体" w:hAnsi="楷体" w:eastAsia="楷体" w:cs="宋体"/>
                <w:spacing w:val="-2"/>
                <w:sz w:val="21"/>
                <w:szCs w:val="21"/>
              </w:rPr>
              <w:t>100亿</w:t>
            </w:r>
            <w:r>
              <w:rPr>
                <w:rFonts w:ascii="楷体" w:hAnsi="楷体" w:eastAsia="楷体" w:cs="宋体"/>
                <w:spacing w:val="-2"/>
                <w:sz w:val="21"/>
                <w:szCs w:val="21"/>
              </w:rPr>
              <w:t>元。</w:t>
            </w:r>
            <w:r>
              <w:rPr>
                <w:rFonts w:hint="eastAsia" w:ascii="楷体" w:hAnsi="楷体" w:eastAsia="楷体" w:cs="宋体"/>
                <w:spacing w:val="-2"/>
                <w:sz w:val="21"/>
                <w:szCs w:val="21"/>
              </w:rPr>
              <w:t>苏银理财有权根据投资运作情况，调整产品规模。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购买起点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vAlign w:val="center"/>
          </w:tcPr>
          <w:p>
            <w:pPr>
              <w:ind w:left="63" w:leftChars="30" w:right="63" w:rightChars="30"/>
              <w:rPr>
                <w:rFonts w:hint="eastAsia" w:ascii="楷体" w:hAnsi="楷体" w:eastAsia="楷体"/>
                <w:szCs w:val="21"/>
              </w:rPr>
            </w:pPr>
            <w:r>
              <w:rPr>
                <w:rFonts w:hint="eastAsia" w:ascii="楷体" w:hAnsi="楷体" w:eastAsia="楷体"/>
                <w:szCs w:val="21"/>
              </w:rPr>
              <w:t>购买起点金额为1元，追加金额为1元的整数倍。</w:t>
            </w:r>
          </w:p>
          <w:p>
            <w:pPr>
              <w:ind w:left="63" w:leftChars="30" w:right="63" w:rightChars="30"/>
              <w:rPr>
                <w:rFonts w:hint="eastAsia" w:ascii="楷体" w:hAnsi="楷体" w:eastAsia="楷体"/>
                <w:szCs w:val="21"/>
              </w:rPr>
            </w:pPr>
            <w:r>
              <w:rPr>
                <w:rFonts w:hint="eastAsia" w:ascii="楷体" w:hAnsi="楷体" w:eastAsia="楷体" w:cs="宋体"/>
                <w:spacing w:val="-2"/>
                <w:szCs w:val="21"/>
              </w:rPr>
              <w:t>产品购买起点和追加金额具体以销售机构设置为准，苏银理财有权对上述起点金额和递增金额进行调整，并在调整前进行公告。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2025年7月7日至2025年7月9日</w:t>
            </w:r>
          </w:p>
          <w:p>
            <w:pPr>
              <w:pStyle w:val="32"/>
              <w:kinsoku w:val="0"/>
              <w:overflowPunct w:val="0"/>
              <w:ind w:left="63" w:leftChars="30" w:right="63" w:rightChars="30"/>
              <w:jc w:val="both"/>
              <w:rPr>
                <w:rFonts w:hint="eastAsia" w:ascii="楷体" w:hAnsi="楷体" w:eastAsia="楷体" w:cs="宋体"/>
                <w:spacing w:val="-2"/>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认购份额计算</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2025年7月10日</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若产品认购份额未达到最低发行总规模3</w:t>
            </w:r>
            <w:r>
              <w:rPr>
                <w:rFonts w:ascii="楷体" w:hAnsi="楷体" w:eastAsia="楷体" w:cs="宋体"/>
                <w:spacing w:val="-2"/>
                <w:sz w:val="21"/>
                <w:szCs w:val="21"/>
              </w:rPr>
              <w:t>000</w:t>
            </w:r>
            <w:r>
              <w:rPr>
                <w:rFonts w:hint="eastAsia" w:ascii="楷体" w:hAnsi="楷体" w:eastAsia="楷体" w:cs="宋体"/>
                <w:spacing w:val="-2"/>
                <w:sz w:val="21"/>
                <w:szCs w:val="21"/>
              </w:rPr>
              <w:t>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封闭运作期</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产品成立后封闭运作32天（2025年7月10日-2025年8月10日），</w:t>
            </w:r>
            <w:r>
              <w:rPr>
                <w:rFonts w:ascii="楷体" w:hAnsi="楷体" w:eastAsia="楷体" w:cs="宋体"/>
                <w:spacing w:val="-2"/>
                <w:sz w:val="21"/>
                <w:szCs w:val="21"/>
              </w:rPr>
              <w:t>封闭运作期内不可申购/</w:t>
            </w:r>
            <w:r>
              <w:rPr>
                <w:rFonts w:hint="eastAsia" w:ascii="楷体" w:hAnsi="楷体" w:eastAsia="楷体" w:cs="宋体"/>
                <w:spacing w:val="-2"/>
                <w:sz w:val="21"/>
                <w:szCs w:val="21"/>
              </w:rPr>
              <w:t>赎回</w:t>
            </w:r>
            <w:r>
              <w:rPr>
                <w:rFonts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2035年12月27日</w:t>
            </w:r>
          </w:p>
          <w:p>
            <w:pPr>
              <w:pStyle w:val="32"/>
              <w:kinsoku w:val="0"/>
              <w:overflowPunct w:val="0"/>
              <w:ind w:left="63" w:leftChars="30" w:right="63" w:rightChars="30"/>
              <w:jc w:val="both"/>
              <w:rPr>
                <w:rFonts w:hint="eastAsia" w:ascii="楷体" w:hAnsi="楷体" w:eastAsia="楷体" w:cs="宋体"/>
                <w:spacing w:val="-2"/>
                <w:szCs w:val="21"/>
              </w:rPr>
            </w:pPr>
            <w:r>
              <w:rPr>
                <w:rFonts w:hint="eastAsia" w:ascii="楷体" w:hAnsi="楷体" w:eastAsia="楷体" w:cs="宋体"/>
                <w:spacing w:val="-2"/>
                <w:sz w:val="21"/>
                <w:szCs w:val="21"/>
              </w:rPr>
              <w:t>本产品</w:t>
            </w:r>
            <w:r>
              <w:rPr>
                <w:rFonts w:ascii="楷体" w:hAnsi="楷体" w:eastAsia="楷体" w:cs="宋体"/>
                <w:spacing w:val="-2"/>
                <w:sz w:val="21"/>
                <w:szCs w:val="21"/>
              </w:rPr>
              <w:t>存续期</w:t>
            </w:r>
            <w:r>
              <w:rPr>
                <w:rFonts w:hint="eastAsia" w:ascii="楷体" w:hAnsi="楷体" w:eastAsia="楷体" w:cs="宋体"/>
                <w:spacing w:val="-2"/>
                <w:sz w:val="21"/>
                <w:szCs w:val="21"/>
              </w:rPr>
              <w:t>10年。在符合产品说明书约定的条件下，产品管理人有权提前终止本理财产品，产品到期日受制于提前终止条款。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开放日</w:t>
            </w:r>
          </w:p>
        </w:tc>
        <w:tc>
          <w:tcPr>
            <w:tcW w:w="6614" w:type="dxa"/>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本产品封闭运作期结束后，后续每个工作日为开放日。管理人有权根据资产运作情况、节假日安排调整开放日，并在调整前进行公告。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本产品封闭运作期结束后，自2025年8月11日起按工作日开放申购/赎回，苏银理财可根据资产运作情况、节假日调整、客户需求调整开放频率，并在调整前通过苏银理财官方网站公告。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工作日</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kern w:val="0"/>
                <w:szCs w:val="21"/>
              </w:rPr>
              <w:t>本产品所指工作日为上海证券交易所、深圳证券交易所的正常交易日。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单一投资者认/申购上限</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ascii="楷体" w:hAnsi="楷体" w:eastAsia="楷体" w:cs="宋体"/>
                <w:spacing w:val="-2"/>
                <w:sz w:val="21"/>
                <w:szCs w:val="21"/>
              </w:rPr>
              <w:t>1</w:t>
            </w:r>
            <w:r>
              <w:rPr>
                <w:rFonts w:hint="eastAsia" w:ascii="楷体" w:hAnsi="楷体" w:eastAsia="楷体" w:cs="宋体"/>
                <w:spacing w:val="-2"/>
                <w:sz w:val="21"/>
                <w:szCs w:val="21"/>
              </w:rPr>
              <w:t>亿元。超过单日累计认/申购上限时，管理人有权拒绝投资者的认/申购申请。产品存续期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单一投资者</w:t>
            </w:r>
            <w:r>
              <w:rPr>
                <w:rFonts w:ascii="楷体" w:hAnsi="楷体" w:eastAsia="楷体" w:cs="宋体"/>
                <w:b/>
                <w:spacing w:val="-2"/>
                <w:sz w:val="21"/>
                <w:szCs w:val="21"/>
              </w:rPr>
              <w:t>赎回</w:t>
            </w:r>
            <w:r>
              <w:rPr>
                <w:rFonts w:hint="eastAsia" w:ascii="楷体" w:hAnsi="楷体" w:eastAsia="楷体" w:cs="宋体"/>
                <w:b/>
                <w:spacing w:val="-2"/>
                <w:sz w:val="21"/>
                <w:szCs w:val="21"/>
              </w:rPr>
              <w:t>上限</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ascii="楷体" w:hAnsi="楷体" w:eastAsia="楷体" w:cs="宋体"/>
                <w:spacing w:val="-2"/>
                <w:sz w:val="21"/>
                <w:szCs w:val="21"/>
              </w:rPr>
              <w:t>1</w:t>
            </w:r>
            <w:r>
              <w:rPr>
                <w:rFonts w:hint="eastAsia" w:ascii="楷体" w:hAnsi="楷体" w:eastAsia="楷体" w:cs="宋体"/>
                <w:spacing w:val="-2"/>
                <w:sz w:val="21"/>
                <w:szCs w:val="21"/>
              </w:rPr>
              <w:t>亿份。超过单日累计</w:t>
            </w:r>
            <w:r>
              <w:rPr>
                <w:rFonts w:ascii="楷体" w:hAnsi="楷体" w:eastAsia="楷体" w:cs="宋体"/>
                <w:spacing w:val="-2"/>
                <w:sz w:val="21"/>
                <w:szCs w:val="21"/>
              </w:rPr>
              <w:t>赎回</w:t>
            </w:r>
            <w:r>
              <w:rPr>
                <w:rFonts w:hint="eastAsia" w:ascii="楷体" w:hAnsi="楷体" w:eastAsia="楷体" w:cs="宋体"/>
                <w:spacing w:val="-2"/>
                <w:sz w:val="21"/>
                <w:szCs w:val="21"/>
              </w:rPr>
              <w:t>上限时，管理人有权拒绝投资者的</w:t>
            </w:r>
            <w:r>
              <w:rPr>
                <w:rFonts w:ascii="楷体" w:hAnsi="楷体" w:eastAsia="楷体" w:cs="宋体"/>
                <w:spacing w:val="-2"/>
                <w:sz w:val="21"/>
                <w:szCs w:val="21"/>
              </w:rPr>
              <w:t>赎回</w:t>
            </w:r>
            <w:r>
              <w:rPr>
                <w:rFonts w:hint="eastAsia" w:ascii="楷体" w:hAnsi="楷体" w:eastAsia="楷体" w:cs="宋体"/>
                <w:spacing w:val="-2"/>
                <w:sz w:val="21"/>
                <w:szCs w:val="21"/>
              </w:rPr>
              <w:t>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w:t>
            </w:r>
            <w:r>
              <w:rPr>
                <w:rFonts w:ascii="楷体" w:hAnsi="楷体" w:eastAsia="楷体" w:cs="宋体"/>
                <w:spacing w:val="-2"/>
                <w:sz w:val="21"/>
                <w:szCs w:val="21"/>
              </w:rPr>
              <w:t>赎回</w:t>
            </w:r>
            <w:r>
              <w:rPr>
                <w:rFonts w:hint="eastAsia" w:ascii="楷体" w:hAnsi="楷体" w:eastAsia="楷体" w:cs="宋体"/>
                <w:spacing w:val="-2"/>
                <w:sz w:val="21"/>
                <w:szCs w:val="21"/>
              </w:rPr>
              <w:t>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单个客户持有比例上限</w:t>
            </w:r>
          </w:p>
        </w:tc>
        <w:tc>
          <w:tcPr>
            <w:tcW w:w="6614" w:type="dxa"/>
            <w:vAlign w:val="center"/>
          </w:tcPr>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产品申购</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kern w:val="0"/>
                <w:szCs w:val="21"/>
              </w:rPr>
              <w:t>申购时间为7*24小时，工作日17：00前申购T+1确认，17：00后的申购为预受理，视同下一工作日申购。申购按受理日当日单位净值确认份额。</w:t>
            </w:r>
            <w:r>
              <w:rPr>
                <w:rFonts w:ascii="楷体" w:hAnsi="楷体" w:eastAsia="楷体" w:cs="宋体"/>
                <w:spacing w:val="-2"/>
                <w:kern w:val="0"/>
                <w:szCs w:val="21"/>
              </w:rPr>
              <w:t>详见下文</w:t>
            </w:r>
            <w:r>
              <w:rPr>
                <w:rFonts w:hint="eastAsia" w:ascii="楷体" w:hAnsi="楷体" w:eastAsia="楷体" w:cs="宋体"/>
                <w:spacing w:val="-2"/>
                <w:kern w:val="0"/>
                <w:szCs w:val="21"/>
              </w:rPr>
              <w:t>“九、产品申购、赎回”。（具体以销售机构设置为准）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巨额</w:t>
            </w:r>
            <w:r>
              <w:rPr>
                <w:rFonts w:ascii="楷体" w:hAnsi="楷体" w:eastAsia="楷体" w:cs="宋体"/>
                <w:b/>
                <w:spacing w:val="-2"/>
                <w:sz w:val="21"/>
                <w:szCs w:val="21"/>
              </w:rPr>
              <w:t>申购</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kern w:val="0"/>
                <w:szCs w:val="21"/>
              </w:rPr>
              <w:t>产品单个开放日净申购申请折算产品份额超过上一日产品总份额20%时，即认为发生了巨额申购。当出现巨额申购时，产品管理人有权拒绝客户的全部或部分申购申请。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申购</w:t>
            </w:r>
            <w:r>
              <w:rPr>
                <w:rFonts w:ascii="楷体" w:hAnsi="楷体" w:eastAsia="楷体" w:cs="宋体"/>
                <w:b/>
                <w:spacing w:val="-2"/>
                <w:sz w:val="21"/>
                <w:szCs w:val="21"/>
              </w:rPr>
              <w:t>份额计算</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kern w:val="0"/>
                <w:szCs w:val="21"/>
              </w:rPr>
              <w:t>申购份额=申购金额/受理日（T）产品单位净值（四舍五入</w:t>
            </w:r>
            <w:r>
              <w:rPr>
                <w:rFonts w:ascii="楷体" w:hAnsi="楷体" w:eastAsia="楷体" w:cs="宋体"/>
                <w:spacing w:val="-2"/>
                <w:kern w:val="0"/>
                <w:szCs w:val="21"/>
              </w:rPr>
              <w:t>保留</w:t>
            </w:r>
            <w:r>
              <w:rPr>
                <w:rFonts w:hint="eastAsia" w:ascii="楷体" w:hAnsi="楷体" w:eastAsia="楷体" w:cs="宋体"/>
                <w:spacing w:val="-2"/>
                <w:kern w:val="0"/>
                <w:szCs w:val="21"/>
              </w:rPr>
              <w:t>2位</w:t>
            </w:r>
            <w:r>
              <w:rPr>
                <w:rFonts w:ascii="楷体" w:hAnsi="楷体" w:eastAsia="楷体" w:cs="宋体"/>
                <w:spacing w:val="-2"/>
                <w:kern w:val="0"/>
                <w:szCs w:val="21"/>
              </w:rPr>
              <w:t>小数</w:t>
            </w:r>
            <w:r>
              <w:rPr>
                <w:rFonts w:hint="eastAsia" w:ascii="楷体" w:hAnsi="楷体" w:eastAsia="楷体" w:cs="宋体"/>
                <w:spacing w:val="-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产品赎回</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szCs w:val="21"/>
              </w:rPr>
              <w:t>份额确认后持有时间超过14个自然日，投资者可自主发起赎回。</w:t>
            </w:r>
            <w:r>
              <w:rPr>
                <w:rFonts w:hint="eastAsia" w:ascii="楷体" w:hAnsi="楷体" w:eastAsia="楷体" w:cs="宋体"/>
                <w:spacing w:val="-2"/>
                <w:kern w:val="0"/>
                <w:szCs w:val="21"/>
              </w:rPr>
              <w:t>赎回时间为7*24小时</w:t>
            </w:r>
            <w:r>
              <w:rPr>
                <w:rFonts w:hint="eastAsia" w:ascii="楷体" w:hAnsi="楷体" w:eastAsia="楷体" w:cs="宋体"/>
                <w:spacing w:val="-2"/>
                <w:szCs w:val="21"/>
              </w:rPr>
              <w:t>，</w:t>
            </w:r>
            <w:r>
              <w:rPr>
                <w:rFonts w:hint="eastAsia" w:ascii="楷体" w:hAnsi="楷体" w:eastAsia="楷体" w:cs="宋体"/>
                <w:spacing w:val="-2"/>
                <w:kern w:val="0"/>
                <w:szCs w:val="21"/>
              </w:rPr>
              <w:t>工作日17：00前赎回T+1确认，17：00后的赎回为预受理，视同下一工作日赎回。赎回按受理日当日单位净值确认兑付金额。</w:t>
            </w:r>
            <w:r>
              <w:rPr>
                <w:rFonts w:ascii="楷体" w:hAnsi="楷体" w:eastAsia="楷体" w:cs="宋体"/>
                <w:spacing w:val="-2"/>
                <w:kern w:val="0"/>
                <w:szCs w:val="21"/>
              </w:rPr>
              <w:t>详见下文</w:t>
            </w:r>
            <w:r>
              <w:rPr>
                <w:rFonts w:hint="eastAsia" w:ascii="楷体" w:hAnsi="楷体" w:eastAsia="楷体" w:cs="宋体"/>
                <w:spacing w:val="-2"/>
                <w:kern w:val="0"/>
                <w:szCs w:val="21"/>
              </w:rPr>
              <w:t>“九、产品申购、赎回”。（具体以销售机构设置为准）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ind w:left="63" w:leftChars="30" w:right="63" w:rightChars="30"/>
              <w:rPr>
                <w:rFonts w:hint="eastAsia"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ind w:left="63" w:leftChars="30" w:right="63" w:rightChars="30"/>
              <w:rPr>
                <w:rFonts w:hint="eastAsia"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示例：客户当日申请赎回份额5万份，当日全部赎回申请1亿份，假设前一日存续份额5亿份，发生巨额赎回，管理人当日办理的赎回份额5000万份，则客户当日确认办理的份额为5/10000*5000=2.5万份。）</w:t>
            </w:r>
          </w:p>
          <w:p>
            <w:pPr>
              <w:ind w:left="63" w:leftChars="30" w:right="63" w:rightChars="30"/>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选择将当日未获受理部分予以撤销（巨额赎回处理方式具体以代销机构展示为准），未选择撤销的赎回申请，产品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连续</w:t>
            </w:r>
            <w:r>
              <w:rPr>
                <w:rFonts w:ascii="楷体" w:hAnsi="楷体" w:eastAsia="楷体" w:cs="宋体"/>
                <w:b/>
                <w:spacing w:val="-2"/>
                <w:sz w:val="21"/>
                <w:szCs w:val="21"/>
              </w:rPr>
              <w:t>巨额赎回</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单个投资者</w:t>
            </w:r>
            <w:r>
              <w:rPr>
                <w:rFonts w:ascii="楷体" w:hAnsi="楷体" w:eastAsia="楷体" w:cs="宋体"/>
                <w:b/>
                <w:spacing w:val="-2"/>
                <w:sz w:val="21"/>
                <w:szCs w:val="21"/>
              </w:rPr>
              <w:t>赎回限制</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赎回</w:t>
            </w:r>
            <w:r>
              <w:rPr>
                <w:rFonts w:ascii="楷体" w:hAnsi="楷体" w:eastAsia="楷体" w:cs="宋体"/>
                <w:b/>
                <w:spacing w:val="-2"/>
                <w:sz w:val="21"/>
                <w:szCs w:val="21"/>
              </w:rPr>
              <w:t>金额计算</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szCs w:val="21"/>
              </w:rPr>
              <w:t>赎回金额=赎回份额*受理日（T）产品单位净值</w:t>
            </w:r>
            <w:r>
              <w:rPr>
                <w:rFonts w:hint="eastAsia" w:ascii="楷体" w:hAnsi="楷体" w:eastAsia="楷体" w:cs="宋体"/>
                <w:spacing w:val="-2"/>
                <w:kern w:val="0"/>
                <w:szCs w:val="21"/>
              </w:rPr>
              <w:t>（四舍五入</w:t>
            </w:r>
            <w:r>
              <w:rPr>
                <w:rFonts w:ascii="楷体" w:hAnsi="楷体" w:eastAsia="楷体" w:cs="宋体"/>
                <w:spacing w:val="-2"/>
                <w:kern w:val="0"/>
                <w:szCs w:val="21"/>
              </w:rPr>
              <w:t>保留</w:t>
            </w:r>
            <w:r>
              <w:rPr>
                <w:rFonts w:hint="eastAsia" w:ascii="楷体" w:hAnsi="楷体" w:eastAsia="楷体" w:cs="宋体"/>
                <w:spacing w:val="-2"/>
                <w:kern w:val="0"/>
                <w:szCs w:val="21"/>
              </w:rPr>
              <w:t>2位</w:t>
            </w:r>
            <w:r>
              <w:rPr>
                <w:rFonts w:ascii="楷体" w:hAnsi="楷体" w:eastAsia="楷体" w:cs="宋体"/>
                <w:spacing w:val="-2"/>
                <w:kern w:val="0"/>
                <w:szCs w:val="21"/>
              </w:rPr>
              <w:t>小数</w:t>
            </w:r>
            <w:r>
              <w:rPr>
                <w:rFonts w:hint="eastAsia" w:ascii="楷体" w:hAnsi="楷体" w:eastAsia="楷体" w:cs="宋体"/>
                <w:spacing w:val="-2"/>
                <w:kern w:val="0"/>
                <w:szCs w:val="21"/>
              </w:rPr>
              <w:t>）</w:t>
            </w:r>
          </w:p>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产品</w:t>
            </w:r>
            <w:r>
              <w:rPr>
                <w:rFonts w:ascii="楷体" w:hAnsi="楷体" w:eastAsia="楷体" w:cs="宋体"/>
                <w:spacing w:val="-2"/>
                <w:szCs w:val="21"/>
              </w:rPr>
              <w:t>的超额业绩报酬</w:t>
            </w:r>
            <w:r>
              <w:rPr>
                <w:rFonts w:hint="eastAsia" w:ascii="楷体" w:hAnsi="楷体" w:eastAsia="楷体" w:cs="宋体"/>
                <w:spacing w:val="-2"/>
                <w:szCs w:val="21"/>
              </w:rPr>
              <w:t>等</w:t>
            </w:r>
            <w:r>
              <w:rPr>
                <w:rFonts w:ascii="楷体" w:hAnsi="楷体" w:eastAsia="楷体" w:cs="宋体"/>
                <w:spacing w:val="-2"/>
                <w:szCs w:val="21"/>
              </w:rPr>
              <w:t>费用（</w:t>
            </w:r>
            <w:r>
              <w:rPr>
                <w:rFonts w:hint="eastAsia" w:ascii="楷体" w:hAnsi="楷体" w:eastAsia="楷体" w:cs="宋体"/>
                <w:spacing w:val="-2"/>
                <w:szCs w:val="21"/>
              </w:rPr>
              <w:t>如有</w:t>
            </w:r>
            <w:r>
              <w:rPr>
                <w:rFonts w:ascii="楷体" w:hAnsi="楷体" w:eastAsia="楷体" w:cs="宋体"/>
                <w:spacing w:val="-2"/>
                <w:szCs w:val="21"/>
              </w:rPr>
              <w:t>）</w:t>
            </w:r>
            <w:r>
              <w:rPr>
                <w:rFonts w:hint="eastAsia" w:ascii="楷体" w:hAnsi="楷体" w:eastAsia="楷体" w:cs="宋体"/>
                <w:spacing w:val="-2"/>
                <w:szCs w:val="21"/>
              </w:rPr>
              <w:t>将从</w:t>
            </w:r>
            <w:r>
              <w:rPr>
                <w:rFonts w:ascii="楷体" w:hAnsi="楷体" w:eastAsia="楷体" w:cs="宋体"/>
                <w:spacing w:val="-2"/>
                <w:szCs w:val="21"/>
              </w:rPr>
              <w:t>赎回金额中扣除</w:t>
            </w:r>
            <w:r>
              <w:rPr>
                <w:rFonts w:hint="eastAsia" w:ascii="楷体" w:hAnsi="楷体" w:eastAsia="楷体" w:cs="宋体"/>
                <w:spacing w:val="-2"/>
                <w:szCs w:val="21"/>
              </w:rPr>
              <w:t>，详见“十一、产品运作”计算示例。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认购/申购资金的清算</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kern w:val="0"/>
                <w:szCs w:val="21"/>
              </w:rPr>
              <w:t>1、投资者提出认购/申购申请后，投资者认购/申购资金将会冻结在投资者资金账户上。（以销售</w:t>
            </w:r>
            <w:r>
              <w:rPr>
                <w:rFonts w:ascii="楷体" w:hAnsi="楷体" w:eastAsia="楷体" w:cs="宋体"/>
                <w:spacing w:val="-2"/>
                <w:kern w:val="0"/>
                <w:szCs w:val="21"/>
              </w:rPr>
              <w:t>机构实际</w:t>
            </w:r>
            <w:r>
              <w:rPr>
                <w:rFonts w:hint="eastAsia" w:ascii="楷体" w:hAnsi="楷体" w:eastAsia="楷体" w:cs="宋体"/>
                <w:spacing w:val="-2"/>
                <w:kern w:val="0"/>
                <w:szCs w:val="21"/>
              </w:rPr>
              <w:t>设置</w:t>
            </w:r>
            <w:r>
              <w:rPr>
                <w:rFonts w:ascii="楷体" w:hAnsi="楷体" w:eastAsia="楷体" w:cs="宋体"/>
                <w:spacing w:val="-2"/>
                <w:kern w:val="0"/>
                <w:szCs w:val="21"/>
              </w:rPr>
              <w:t>的</w:t>
            </w:r>
            <w:r>
              <w:rPr>
                <w:rFonts w:hint="eastAsia" w:ascii="楷体" w:hAnsi="楷体" w:eastAsia="楷体" w:cs="宋体"/>
                <w:spacing w:val="-2"/>
                <w:kern w:val="0"/>
                <w:szCs w:val="21"/>
              </w:rPr>
              <w:t>规则</w:t>
            </w:r>
            <w:r>
              <w:rPr>
                <w:rFonts w:ascii="楷体" w:hAnsi="楷体" w:eastAsia="楷体" w:cs="宋体"/>
                <w:spacing w:val="-2"/>
                <w:kern w:val="0"/>
                <w:szCs w:val="21"/>
              </w:rPr>
              <w:t>为准</w:t>
            </w:r>
            <w:r>
              <w:rPr>
                <w:rFonts w:hint="eastAsia" w:ascii="楷体" w:hAnsi="楷体" w:eastAsia="楷体" w:cs="宋体"/>
                <w:spacing w:val="-2"/>
                <w:kern w:val="0"/>
                <w:szCs w:val="21"/>
              </w:rPr>
              <w:t>）</w:t>
            </w:r>
          </w:p>
          <w:p>
            <w:pPr>
              <w:ind w:left="63" w:leftChars="30" w:right="63" w:rightChars="30"/>
              <w:rPr>
                <w:rFonts w:hint="eastAsia" w:ascii="楷体" w:hAnsi="楷体" w:eastAsia="楷体" w:cs="宋体"/>
                <w:spacing w:val="-2"/>
                <w:szCs w:val="21"/>
              </w:rPr>
            </w:pPr>
            <w:r>
              <w:rPr>
                <w:rFonts w:hint="eastAsia" w:ascii="楷体" w:hAnsi="楷体" w:eastAsia="楷体" w:cs="宋体"/>
                <w:spacing w:val="-2"/>
                <w:kern w:val="0"/>
                <w:szCs w:val="21"/>
              </w:rPr>
              <w:t>2、管理人在份额确认日通知销售机构扣划投资者认购/申购资金，投资者应在扣款前保证资金账户中拥有足够可用余额。</w:t>
            </w:r>
            <w:r>
              <w:rPr>
                <w:rFonts w:hint="eastAsia" w:ascii="楷体" w:hAnsi="楷体" w:eastAsia="楷体" w:cs="宋体"/>
                <w:b/>
                <w:spacing w:val="-2"/>
                <w:kern w:val="0"/>
                <w:szCs w:val="21"/>
                <w:u w:val="single"/>
              </w:rPr>
              <w:t>因投资者资金账户余额不足、司法冻结、不可抗力因素或其他不可归责于苏银理财和销售机构的事由出现，造成扣款失败，认购/申购申请未被确认的，苏银理财和销售机构不承担相应责任。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spacing w:val="-2"/>
                <w:sz w:val="21"/>
                <w:szCs w:val="21"/>
              </w:rPr>
            </w:pPr>
            <w:r>
              <w:rPr>
                <w:rFonts w:hint="eastAsia" w:ascii="楷体" w:hAnsi="楷体" w:eastAsia="楷体" w:cs="宋体"/>
                <w:b/>
                <w:spacing w:val="-2"/>
                <w:sz w:val="21"/>
                <w:szCs w:val="21"/>
              </w:rPr>
              <w:t>赎回资金的清算</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szCs w:val="21"/>
              </w:rPr>
              <w:t>未触发巨额赎回条款情形下，投资者赎回资金将在赎回申请确认日后</w:t>
            </w:r>
            <w:r>
              <w:rPr>
                <w:rFonts w:ascii="楷体" w:hAnsi="楷体" w:eastAsia="楷体" w:cs="宋体"/>
                <w:spacing w:val="-2"/>
                <w:szCs w:val="21"/>
              </w:rPr>
              <w:t>4</w:t>
            </w:r>
            <w:r>
              <w:rPr>
                <w:rFonts w:hint="eastAsia" w:ascii="楷体" w:hAnsi="楷体" w:eastAsia="楷体" w:cs="宋体"/>
                <w:spacing w:val="-2"/>
                <w:szCs w:val="21"/>
              </w:rPr>
              <w:t>个工作日内到达投资者资金账户。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w:t>
            </w:r>
          </w:p>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（年化）</w:t>
            </w:r>
          </w:p>
        </w:tc>
        <w:tc>
          <w:tcPr>
            <w:tcW w:w="6614" w:type="dxa"/>
            <w:vAlign w:val="center"/>
          </w:tcPr>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kern w:val="0"/>
                <w:szCs w:val="21"/>
              </w:rPr>
              <w:t>中债-新综合财富(1年以下)指数收益率*35%+中国人民银行公布的7天通知存款利率*65%</w:t>
            </w:r>
          </w:p>
          <w:p>
            <w:pPr>
              <w:ind w:left="63" w:leftChars="30" w:right="63" w:rightChars="30"/>
              <w:rPr>
                <w:rFonts w:hint="eastAsia" w:ascii="楷体" w:hAnsi="楷体" w:eastAsia="楷体" w:cs="宋体"/>
                <w:spacing w:val="-2"/>
                <w:kern w:val="0"/>
                <w:szCs w:val="21"/>
              </w:rPr>
            </w:pPr>
            <w:r>
              <w:rPr>
                <w:rFonts w:hint="eastAsia" w:ascii="楷体" w:hAnsi="楷体" w:eastAsia="楷体" w:cs="宋体"/>
                <w:spacing w:val="-2"/>
                <w:kern w:val="0"/>
                <w:szCs w:val="21"/>
              </w:rPr>
              <w:t>（管理人参考过往投资经验，依据近期货币市场工具、债券等资产投资收益水平，在产品说明书约定的投资范围和投资比例内，综合考虑各份额收取的销售服务费和投资管理费的情况，模拟测算得出业绩比较基准。）</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b/>
                <w:spacing w:val="-2"/>
                <w:sz w:val="21"/>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产品费用</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本产品费用包括托管费、销售服务费、投资管理费以及产品运作和清算中产生的其他费用等。</w:t>
            </w:r>
          </w:p>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1．托管费率：0.</w:t>
            </w:r>
            <w:r>
              <w:rPr>
                <w:rFonts w:ascii="楷体" w:hAnsi="楷体" w:eastAsia="楷体" w:cs="宋体"/>
                <w:spacing w:val="-2"/>
                <w:szCs w:val="21"/>
              </w:rPr>
              <w:t>02</w:t>
            </w:r>
            <w:r>
              <w:rPr>
                <w:rFonts w:hint="eastAsia" w:ascii="楷体" w:hAnsi="楷体" w:eastAsia="楷体" w:cs="宋体"/>
                <w:spacing w:val="-2"/>
                <w:szCs w:val="21"/>
              </w:rPr>
              <w:t>%/年；</w:t>
            </w:r>
          </w:p>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2．销售服务费率：0</w:t>
            </w:r>
            <w:r>
              <w:rPr>
                <w:rFonts w:ascii="楷体" w:hAnsi="楷体" w:eastAsia="楷体" w:cs="宋体"/>
                <w:spacing w:val="-2"/>
                <w:szCs w:val="21"/>
              </w:rPr>
              <w:t>.</w:t>
            </w:r>
            <w:r>
              <w:rPr>
                <w:rFonts w:hint="eastAsia" w:ascii="楷体" w:hAnsi="楷体" w:eastAsia="楷体" w:cs="宋体"/>
                <w:spacing w:val="-2"/>
                <w:szCs w:val="21"/>
              </w:rPr>
              <w:t>3</w:t>
            </w:r>
            <w:r>
              <w:rPr>
                <w:rFonts w:ascii="楷体" w:hAnsi="楷体" w:eastAsia="楷体" w:cs="宋体"/>
                <w:spacing w:val="-2"/>
                <w:szCs w:val="21"/>
              </w:rPr>
              <w:t>0</w:t>
            </w:r>
            <w:r>
              <w:rPr>
                <w:rFonts w:hint="eastAsia" w:ascii="楷体" w:hAnsi="楷体" w:eastAsia="楷体" w:cs="宋体"/>
                <w:spacing w:val="-2"/>
                <w:szCs w:val="21"/>
              </w:rPr>
              <w:t>%</w:t>
            </w:r>
            <w:r>
              <w:rPr>
                <w:rFonts w:ascii="楷体" w:hAnsi="楷体" w:eastAsia="楷体" w:cs="宋体"/>
                <w:spacing w:val="-2"/>
                <w:szCs w:val="21"/>
              </w:rPr>
              <w:t>/年</w:t>
            </w:r>
            <w:r>
              <w:rPr>
                <w:rFonts w:hint="eastAsia" w:ascii="楷体" w:hAnsi="楷体" w:eastAsia="楷体" w:cs="宋体"/>
                <w:spacing w:val="-2"/>
                <w:szCs w:val="21"/>
              </w:rPr>
              <w:t>；</w:t>
            </w:r>
          </w:p>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3．投资管理费率：0.</w:t>
            </w:r>
            <w:r>
              <w:rPr>
                <w:rFonts w:ascii="楷体" w:hAnsi="楷体" w:eastAsia="楷体" w:cs="宋体"/>
                <w:spacing w:val="-2"/>
                <w:szCs w:val="21"/>
              </w:rPr>
              <w:t>60</w:t>
            </w:r>
            <w:r>
              <w:rPr>
                <w:rFonts w:hint="eastAsia" w:ascii="楷体" w:hAnsi="楷体" w:eastAsia="楷体" w:cs="宋体"/>
                <w:spacing w:val="-2"/>
                <w:szCs w:val="21"/>
              </w:rPr>
              <w:t>%/年。</w:t>
            </w:r>
          </w:p>
          <w:p>
            <w:pPr>
              <w:pStyle w:val="32"/>
              <w:kinsoku w:val="0"/>
              <w:overflowPunct w:val="0"/>
              <w:ind w:left="63" w:leftChars="30" w:right="63" w:rightChars="30"/>
              <w:jc w:val="both"/>
              <w:rPr>
                <w:rFonts w:hint="eastAsia" w:ascii="楷体" w:hAnsi="楷体" w:eastAsia="楷体" w:cs="宋体"/>
                <w:spacing w:val="-2"/>
                <w:sz w:val="21"/>
                <w:szCs w:val="21"/>
              </w:rPr>
            </w:pPr>
            <w:r>
              <w:rPr>
                <w:rFonts w:hint="eastAsia" w:ascii="楷体" w:hAnsi="楷体" w:eastAsia="楷体" w:cs="宋体"/>
                <w:spacing w:val="-2"/>
                <w:sz w:val="21"/>
                <w:szCs w:val="21"/>
              </w:rPr>
              <w:t>产品存续期内苏银理财有权对相关费用进行调整，实际收取费率以管理人公告为准。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本产品每日估值，每个开放日结束后2个工作日内通过本理财产品说明书约定方式披露开放日的单位净值、份额累计净值、认/申购价格和赎回价格。详见下文“十、产品估值”。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spacing w:val="-2"/>
                <w:sz w:val="21"/>
                <w:szCs w:val="21"/>
              </w:rPr>
            </w:pPr>
            <w:r>
              <w:rPr>
                <w:rFonts w:hint="eastAsia" w:ascii="楷体" w:hAnsi="楷体" w:eastAsia="楷体" w:cs="宋体"/>
                <w:b/>
                <w:spacing w:val="-2"/>
                <w:sz w:val="21"/>
                <w:szCs w:val="21"/>
              </w:rPr>
              <w:t>暂停估值</w:t>
            </w:r>
          </w:p>
        </w:tc>
        <w:tc>
          <w:tcPr>
            <w:tcW w:w="6614" w:type="dxa"/>
            <w:vAlign w:val="center"/>
          </w:tcPr>
          <w:p>
            <w:pPr>
              <w:ind w:left="63" w:leftChars="30" w:right="63" w:rightChars="30"/>
              <w:rPr>
                <w:rFonts w:hint="eastAsia" w:ascii="楷体" w:hAnsi="楷体" w:eastAsia="楷体"/>
                <w:sz w:val="24"/>
                <w:szCs w:val="24"/>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认/申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本产品无分红机制，投资运作情况体现为产品净值变化。产品投资运作到期，投资收益扣除相关费用后，全部分配给投资者。详见下文“十二、理财产品的终止与清算”。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vAlign w:val="center"/>
          </w:tcPr>
          <w:p>
            <w:pPr>
              <w:pStyle w:val="32"/>
              <w:kinsoku w:val="0"/>
              <w:overflowPunct w:val="0"/>
              <w:ind w:left="63" w:leftChars="30" w:right="63" w:rightChars="30"/>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vAlign w:val="center"/>
          </w:tcPr>
          <w:p>
            <w:pPr>
              <w:ind w:left="63" w:leftChars="30" w:right="63" w:rightChars="30"/>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hint="eastAsia" w:ascii="楷体" w:hAnsi="楷体" w:eastAsia="楷体"/>
          <w:sz w:val="24"/>
          <w:szCs w:val="24"/>
        </w:rPr>
      </w:pPr>
      <w:r>
        <w:rPr>
          <w:rFonts w:hint="eastAsia" w:ascii="楷体" w:hAnsi="楷体" w:eastAsia="楷体"/>
          <w:sz w:val="24"/>
          <w:szCs w:val="24"/>
        </w:rPr>
        <w:t>本产品管理人为苏银理财有限责任公司，苏银理财系江苏银行股份有限公司全资控股的银行理财子公司。公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监管机构批准的其他业务等。</w:t>
      </w:r>
    </w:p>
    <w:p>
      <w:pPr>
        <w:ind w:firstLine="480" w:firstLineChars="200"/>
        <w:rPr>
          <w:rFonts w:hint="eastAsia"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w:t>
      </w:r>
      <w:r>
        <w:rPr>
          <w:rFonts w:hint="eastAsia" w:ascii="楷体" w:hAnsi="楷体" w:eastAsia="楷体" w:cs="Calibri"/>
          <w:sz w:val="24"/>
          <w:szCs w:val="24"/>
        </w:rPr>
        <w:t>最低</w:t>
      </w:r>
      <w:r>
        <w:rPr>
          <w:rFonts w:ascii="楷体" w:hAnsi="楷体" w:eastAsia="楷体" w:cs="Calibri"/>
          <w:sz w:val="24"/>
          <w:szCs w:val="24"/>
        </w:rPr>
        <w:t>金额等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1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12"/>
        </w:numPr>
        <w:tabs>
          <w:tab w:val="left" w:pos="728"/>
        </w:tabs>
        <w:ind w:left="0" w:firstLine="480" w:firstLineChars="200"/>
        <w:rPr>
          <w:rFonts w:hint="eastAsia" w:ascii="楷体" w:hAnsi="楷体" w:eastAsia="楷体"/>
          <w:sz w:val="24"/>
          <w:szCs w:val="24"/>
        </w:rPr>
      </w:pPr>
      <w:r>
        <w:rPr>
          <w:rFonts w:hint="eastAsia" w:ascii="楷体" w:hAnsi="楷体" w:eastAsia="楷体" w:cs="Calibri"/>
          <w:sz w:val="24"/>
          <w:szCs w:val="24"/>
        </w:rPr>
        <w:t>法律法规、监管政策和本理财计划文件约定的其他权利。</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销售机构</w:t>
      </w:r>
    </w:p>
    <w:p>
      <w:pPr>
        <w:ind w:firstLine="480" w:firstLineChars="200"/>
        <w:rPr>
          <w:rFonts w:hint="eastAsia" w:ascii="楷体" w:hAnsi="楷体" w:eastAsia="楷体"/>
          <w:sz w:val="24"/>
          <w:szCs w:val="24"/>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sz w:val="24"/>
          <w:szCs w:val="24"/>
          <w:u w:val="single"/>
        </w:rPr>
        <w:t>销售机构负责</w:t>
      </w:r>
      <w:r>
        <w:rPr>
          <w:rFonts w:ascii="楷体" w:hAnsi="楷体" w:eastAsia="楷体"/>
          <w:b/>
          <w:sz w:val="24"/>
          <w:szCs w:val="24"/>
          <w:u w:val="single"/>
        </w:rPr>
        <w:t>理财产品宣传推广、投资者风险承受能力评估和投资者适当性管理、理财产品客户身份识别及反洗钱</w:t>
      </w:r>
      <w:r>
        <w:rPr>
          <w:rFonts w:hint="eastAsia" w:ascii="楷体" w:hAnsi="楷体" w:eastAsia="楷体"/>
          <w:b/>
          <w:sz w:val="24"/>
          <w:szCs w:val="24"/>
          <w:u w:val="single"/>
        </w:rPr>
        <w:t>、反恐怖融资及非居民金融账户涉税信息</w:t>
      </w:r>
      <w:r>
        <w:rPr>
          <w:rFonts w:ascii="楷体" w:hAnsi="楷体" w:eastAsia="楷体"/>
          <w:b/>
          <w:sz w:val="24"/>
          <w:szCs w:val="24"/>
          <w:u w:val="single"/>
        </w:rPr>
        <w:t>调查、理财产品份额认购/申购/赎回、协助管理人与投资者订立理财产品合同、协助投资者与管理人沟通、接受投资者咨询和客户维护等销售服务</w:t>
      </w:r>
      <w:r>
        <w:rPr>
          <w:rFonts w:hint="eastAsia" w:ascii="楷体" w:hAnsi="楷体" w:eastAsia="楷体"/>
          <w:b/>
          <w:sz w:val="24"/>
          <w:szCs w:val="24"/>
          <w:u w:val="single"/>
        </w:rPr>
        <w:t>工作。销售机构不承担产品投资、兑付和风险管理责任，产品的投资、兑付和风险管理责任由管理人苏银理财承担。</w:t>
      </w:r>
      <w:r>
        <w:rPr>
          <w:rFonts w:hint="eastAsia" w:ascii="楷体" w:hAnsi="楷体" w:eastAsia="楷体"/>
          <w:sz w:val="24"/>
          <w:szCs w:val="24"/>
        </w:rPr>
        <w:t>本产品各份额销售机构如下：</w:t>
      </w:r>
    </w:p>
    <w:tbl>
      <w:tblPr>
        <w:tblStyle w:val="14"/>
        <w:tblW w:w="4998" w:type="pct"/>
        <w:jc w:val="center"/>
        <w:tblLayout w:type="autofit"/>
        <w:tblCellMar>
          <w:top w:w="0" w:type="dxa"/>
          <w:left w:w="108" w:type="dxa"/>
          <w:bottom w:w="0" w:type="dxa"/>
          <w:right w:w="108" w:type="dxa"/>
        </w:tblCellMar>
      </w:tblPr>
      <w:tblGrid>
        <w:gridCol w:w="1013"/>
        <w:gridCol w:w="3753"/>
        <w:gridCol w:w="3753"/>
      </w:tblGrid>
      <w:tr>
        <w:tblPrEx>
          <w:tblCellMar>
            <w:top w:w="0" w:type="dxa"/>
            <w:left w:w="108" w:type="dxa"/>
            <w:bottom w:w="0" w:type="dxa"/>
            <w:right w:w="108" w:type="dxa"/>
          </w:tblCellMar>
        </w:tblPrEx>
        <w:trPr>
          <w:trHeight w:val="286" w:hRule="atLeast"/>
          <w:jc w:val="center"/>
        </w:trPr>
        <w:tc>
          <w:tcPr>
            <w:tcW w:w="595" w:type="pct"/>
            <w:tcBorders>
              <w:top w:val="single" w:color="000000" w:sz="4" w:space="0"/>
              <w:left w:val="single" w:color="000000" w:sz="4" w:space="0"/>
              <w:bottom w:val="single" w:color="auto" w:sz="4" w:space="0"/>
              <w:right w:val="single" w:color="000000" w:sz="4" w:space="0"/>
            </w:tcBorders>
            <w:noWrap/>
            <w:vAlign w:val="center"/>
          </w:tcPr>
          <w:p>
            <w:pPr>
              <w:widowControl/>
              <w:spacing w:line="0" w:lineRule="atLeast"/>
              <w:jc w:val="center"/>
              <w:textAlignment w:val="center"/>
              <w:rPr>
                <w:rFonts w:hint="eastAsia" w:ascii="楷体" w:hAnsi="楷体" w:eastAsia="楷体" w:cs="楷体"/>
                <w:b/>
                <w:bCs/>
                <w:color w:val="000000"/>
                <w:sz w:val="20"/>
                <w:szCs w:val="20"/>
              </w:rPr>
            </w:pPr>
            <w:r>
              <w:rPr>
                <w:rFonts w:hint="eastAsia" w:ascii="楷体" w:hAnsi="楷体" w:eastAsia="楷体" w:cs="楷体"/>
                <w:b/>
                <w:bCs/>
                <w:color w:val="000000"/>
                <w:kern w:val="0"/>
                <w:sz w:val="20"/>
                <w:szCs w:val="20"/>
                <w:lang w:bidi="ar"/>
              </w:rPr>
              <w:t>份额</w:t>
            </w:r>
          </w:p>
        </w:tc>
        <w:tc>
          <w:tcPr>
            <w:tcW w:w="4404" w:type="pct"/>
            <w:gridSpan w:val="2"/>
            <w:tcBorders>
              <w:top w:val="single" w:color="000000" w:sz="4" w:space="0"/>
              <w:left w:val="single" w:color="000000" w:sz="4" w:space="0"/>
              <w:bottom w:val="single" w:color="auto" w:sz="4" w:space="0"/>
              <w:right w:val="single" w:color="000000" w:sz="4" w:space="0"/>
            </w:tcBorders>
            <w:noWrap/>
            <w:vAlign w:val="center"/>
          </w:tcPr>
          <w:p>
            <w:pPr>
              <w:widowControl/>
              <w:spacing w:line="0" w:lineRule="atLeast"/>
              <w:jc w:val="center"/>
              <w:textAlignment w:val="center"/>
              <w:rPr>
                <w:rFonts w:hint="eastAsia" w:ascii="楷体" w:hAnsi="楷体" w:eastAsia="楷体" w:cs="楷体"/>
                <w:b/>
                <w:bCs/>
                <w:color w:val="000000"/>
                <w:sz w:val="20"/>
                <w:szCs w:val="20"/>
              </w:rPr>
            </w:pPr>
            <w:r>
              <w:rPr>
                <w:rFonts w:hint="eastAsia" w:ascii="楷体" w:hAnsi="楷体" w:eastAsia="楷体" w:cs="楷体"/>
                <w:b/>
                <w:bCs/>
                <w:color w:val="000000"/>
                <w:kern w:val="0"/>
                <w:sz w:val="20"/>
                <w:szCs w:val="20"/>
                <w:lang w:bidi="ar"/>
              </w:rPr>
              <w:t>销售机构</w:t>
            </w:r>
          </w:p>
        </w:tc>
      </w:tr>
      <w:tr>
        <w:tblPrEx>
          <w:tblCellMar>
            <w:top w:w="0" w:type="dxa"/>
            <w:left w:w="108" w:type="dxa"/>
            <w:bottom w:w="0" w:type="dxa"/>
            <w:right w:w="108" w:type="dxa"/>
          </w:tblCellMar>
        </w:tblPrEx>
        <w:trPr>
          <w:trHeight w:val="286" w:hRule="atLeast"/>
          <w:jc w:val="center"/>
        </w:trPr>
        <w:tc>
          <w:tcPr>
            <w:tcW w:w="595" w:type="pct"/>
            <w:tcBorders>
              <w:top w:val="single" w:color="auto" w:sz="4" w:space="0"/>
              <w:left w:val="single" w:color="auto" w:sz="4" w:space="0"/>
              <w:bottom w:val="single" w:color="auto" w:sz="4" w:space="0"/>
              <w:right w:val="single" w:color="000000" w:sz="4" w:space="0"/>
            </w:tcBorders>
            <w:noWrap/>
            <w:vAlign w:val="center"/>
          </w:tcPr>
          <w:p>
            <w:pPr>
              <w:widowControl/>
              <w:spacing w:line="0" w:lineRule="atLeast"/>
              <w:jc w:val="center"/>
              <w:rPr>
                <w:rFonts w:hint="eastAsia" w:ascii="楷体" w:hAnsi="楷体" w:eastAsia="楷体" w:cs="楷体"/>
                <w:color w:val="000000"/>
                <w:sz w:val="20"/>
                <w:szCs w:val="20"/>
              </w:rPr>
            </w:pPr>
            <w:r>
              <w:rPr>
                <w:rFonts w:hint="eastAsia" w:ascii="楷体" w:hAnsi="楷体" w:eastAsia="楷体" w:cs="楷体"/>
                <w:color w:val="000000"/>
                <w:kern w:val="0"/>
                <w:sz w:val="20"/>
                <w:szCs w:val="20"/>
                <w:lang w:bidi="ar"/>
              </w:rPr>
              <w:t>A份额</w:t>
            </w:r>
          </w:p>
        </w:tc>
        <w:tc>
          <w:tcPr>
            <w:tcW w:w="2202" w:type="pct"/>
            <w:tcBorders>
              <w:top w:val="single" w:color="auto" w:sz="4" w:space="0"/>
              <w:left w:val="single" w:color="000000" w:sz="4" w:space="0"/>
              <w:bottom w:val="single" w:color="auto" w:sz="4" w:space="0"/>
              <w:right w:val="nil"/>
            </w:tcBorders>
            <w:noWrap/>
            <w:vAlign w:val="center"/>
          </w:tcPr>
          <w:p>
            <w:pPr>
              <w:widowControl/>
              <w:spacing w:line="0" w:lineRule="atLeast"/>
              <w:jc w:val="center"/>
              <w:textAlignment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江苏银行股份有限公司</w:t>
            </w:r>
          </w:p>
        </w:tc>
        <w:tc>
          <w:tcPr>
            <w:tcW w:w="2202" w:type="pct"/>
            <w:tcBorders>
              <w:top w:val="single" w:color="auto" w:sz="4" w:space="0"/>
              <w:left w:val="nil"/>
              <w:bottom w:val="single" w:color="auto" w:sz="4" w:space="0"/>
              <w:right w:val="single" w:color="auto" w:sz="4" w:space="0"/>
            </w:tcBorders>
            <w:noWrap/>
            <w:vAlign w:val="center"/>
          </w:tcPr>
          <w:p>
            <w:pPr>
              <w:widowControl/>
              <w:spacing w:line="0" w:lineRule="atLeast"/>
              <w:jc w:val="center"/>
              <w:textAlignment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苏银理财有限责任公司</w:t>
            </w:r>
          </w:p>
        </w:tc>
      </w:tr>
      <w:tr>
        <w:tblPrEx>
          <w:tblCellMar>
            <w:top w:w="0" w:type="dxa"/>
            <w:left w:w="108" w:type="dxa"/>
            <w:bottom w:w="0" w:type="dxa"/>
            <w:right w:w="108" w:type="dxa"/>
          </w:tblCellMar>
        </w:tblPrEx>
        <w:trPr>
          <w:trHeight w:val="286" w:hRule="atLeast"/>
          <w:jc w:val="center"/>
        </w:trPr>
        <w:tc>
          <w:tcPr>
            <w:tcW w:w="595" w:type="pct"/>
            <w:tcBorders>
              <w:top w:val="single" w:color="auto" w:sz="4" w:space="0"/>
              <w:left w:val="single" w:color="auto" w:sz="4" w:space="0"/>
              <w:bottom w:val="single" w:color="auto" w:sz="4" w:space="0"/>
              <w:right w:val="single" w:color="000000" w:sz="4" w:space="0"/>
            </w:tcBorders>
            <w:noWrap/>
            <w:vAlign w:val="center"/>
          </w:tcPr>
          <w:p>
            <w:pPr>
              <w:widowControl/>
              <w:spacing w:line="0" w:lineRule="atLeast"/>
              <w:jc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F份额</w:t>
            </w:r>
          </w:p>
        </w:tc>
        <w:tc>
          <w:tcPr>
            <w:tcW w:w="2202" w:type="pct"/>
            <w:tcBorders>
              <w:top w:val="single" w:color="auto" w:sz="4" w:space="0"/>
              <w:left w:val="single" w:color="000000" w:sz="4" w:space="0"/>
              <w:bottom w:val="single" w:color="auto" w:sz="4" w:space="0"/>
              <w:right w:val="nil"/>
            </w:tcBorders>
            <w:noWrap/>
            <w:vAlign w:val="center"/>
          </w:tcPr>
          <w:p>
            <w:pPr>
              <w:widowControl/>
              <w:spacing w:line="0" w:lineRule="atLeast"/>
              <w:jc w:val="center"/>
              <w:textAlignment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苏银理财有限责任公司</w:t>
            </w:r>
          </w:p>
        </w:tc>
        <w:tc>
          <w:tcPr>
            <w:tcW w:w="2202" w:type="pct"/>
            <w:tcBorders>
              <w:top w:val="single" w:color="auto" w:sz="4" w:space="0"/>
              <w:left w:val="nil"/>
              <w:bottom w:val="single" w:color="auto" w:sz="4" w:space="0"/>
              <w:right w:val="single" w:color="auto" w:sz="4" w:space="0"/>
            </w:tcBorders>
            <w:noWrap/>
            <w:vAlign w:val="center"/>
          </w:tcPr>
          <w:p>
            <w:pPr>
              <w:widowControl/>
              <w:spacing w:line="0" w:lineRule="atLeast"/>
              <w:jc w:val="center"/>
              <w:textAlignment w:val="center"/>
              <w:rPr>
                <w:rFonts w:hint="eastAsia" w:ascii="楷体" w:hAnsi="楷体" w:eastAsia="楷体" w:cs="楷体"/>
                <w:color w:val="000000"/>
                <w:kern w:val="0"/>
                <w:sz w:val="20"/>
                <w:szCs w:val="20"/>
                <w:highlight w:val="yellow"/>
                <w:lang w:bidi="ar"/>
              </w:rPr>
            </w:pPr>
          </w:p>
        </w:tc>
      </w:tr>
      <w:tr>
        <w:tblPrEx>
          <w:tblCellMar>
            <w:top w:w="0" w:type="dxa"/>
            <w:left w:w="108" w:type="dxa"/>
            <w:bottom w:w="0" w:type="dxa"/>
            <w:right w:w="108" w:type="dxa"/>
          </w:tblCellMar>
        </w:tblPrEx>
        <w:trPr>
          <w:trHeight w:val="286" w:hRule="atLeast"/>
          <w:jc w:val="center"/>
        </w:trPr>
        <w:tc>
          <w:tcPr>
            <w:tcW w:w="595" w:type="pct"/>
            <w:tcBorders>
              <w:top w:val="single" w:color="auto" w:sz="4" w:space="0"/>
              <w:left w:val="single" w:color="auto" w:sz="4" w:space="0"/>
              <w:bottom w:val="single" w:color="auto" w:sz="4" w:space="0"/>
              <w:right w:val="single" w:color="000000" w:sz="4" w:space="0"/>
            </w:tcBorders>
            <w:noWrap/>
            <w:vAlign w:val="center"/>
          </w:tcPr>
          <w:p>
            <w:pPr>
              <w:widowControl/>
              <w:spacing w:line="0" w:lineRule="atLeast"/>
              <w:jc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G份额</w:t>
            </w:r>
          </w:p>
        </w:tc>
        <w:tc>
          <w:tcPr>
            <w:tcW w:w="2202" w:type="pct"/>
            <w:tcBorders>
              <w:top w:val="single" w:color="auto" w:sz="4" w:space="0"/>
              <w:left w:val="single" w:color="000000" w:sz="4" w:space="0"/>
              <w:bottom w:val="single" w:color="auto" w:sz="4" w:space="0"/>
              <w:right w:val="nil"/>
            </w:tcBorders>
            <w:noWrap/>
            <w:vAlign w:val="center"/>
          </w:tcPr>
          <w:p>
            <w:pPr>
              <w:widowControl/>
              <w:spacing w:line="0" w:lineRule="atLeast"/>
              <w:jc w:val="center"/>
              <w:textAlignment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苏州银行股份有限公司</w:t>
            </w:r>
          </w:p>
        </w:tc>
        <w:tc>
          <w:tcPr>
            <w:tcW w:w="2202" w:type="pct"/>
            <w:tcBorders>
              <w:top w:val="single" w:color="auto" w:sz="4" w:space="0"/>
              <w:left w:val="nil"/>
              <w:bottom w:val="single" w:color="auto" w:sz="4" w:space="0"/>
              <w:right w:val="single" w:color="auto" w:sz="4" w:space="0"/>
            </w:tcBorders>
            <w:noWrap/>
            <w:vAlign w:val="center"/>
          </w:tcPr>
          <w:p>
            <w:pPr>
              <w:widowControl/>
              <w:spacing w:line="0" w:lineRule="atLeast"/>
              <w:jc w:val="center"/>
              <w:textAlignment w:val="center"/>
              <w:rPr>
                <w:rFonts w:hint="eastAsia" w:ascii="楷体" w:hAnsi="楷体" w:eastAsia="楷体" w:cs="楷体"/>
                <w:color w:val="000000"/>
                <w:kern w:val="0"/>
                <w:sz w:val="20"/>
                <w:szCs w:val="20"/>
                <w:highlight w:val="yellow"/>
                <w:lang w:bidi="ar"/>
              </w:rPr>
            </w:pPr>
          </w:p>
        </w:tc>
      </w:tr>
      <w:tr>
        <w:tblPrEx>
          <w:tblCellMar>
            <w:top w:w="0" w:type="dxa"/>
            <w:left w:w="108" w:type="dxa"/>
            <w:bottom w:w="0" w:type="dxa"/>
            <w:right w:w="108" w:type="dxa"/>
          </w:tblCellMar>
        </w:tblPrEx>
        <w:trPr>
          <w:trHeight w:val="286" w:hRule="atLeast"/>
          <w:jc w:val="center"/>
        </w:trPr>
        <w:tc>
          <w:tcPr>
            <w:tcW w:w="595" w:type="pct"/>
            <w:tcBorders>
              <w:top w:val="single" w:color="auto" w:sz="4" w:space="0"/>
              <w:left w:val="single" w:color="auto" w:sz="4" w:space="0"/>
              <w:bottom w:val="single" w:color="auto" w:sz="4" w:space="0"/>
              <w:right w:val="single" w:color="000000" w:sz="4" w:space="0"/>
            </w:tcBorders>
            <w:noWrap/>
            <w:vAlign w:val="center"/>
          </w:tcPr>
          <w:p>
            <w:pPr>
              <w:widowControl/>
              <w:spacing w:line="0" w:lineRule="atLeast"/>
              <w:jc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H份额</w:t>
            </w:r>
          </w:p>
        </w:tc>
        <w:tc>
          <w:tcPr>
            <w:tcW w:w="2202" w:type="pct"/>
            <w:tcBorders>
              <w:top w:val="single" w:color="auto" w:sz="4" w:space="0"/>
              <w:left w:val="single" w:color="000000" w:sz="4" w:space="0"/>
              <w:bottom w:val="single" w:color="auto" w:sz="4" w:space="0"/>
              <w:right w:val="nil"/>
            </w:tcBorders>
            <w:noWrap/>
            <w:vAlign w:val="center"/>
          </w:tcPr>
          <w:p>
            <w:pPr>
              <w:widowControl/>
              <w:spacing w:line="0" w:lineRule="atLeast"/>
              <w:jc w:val="center"/>
              <w:textAlignment w:val="center"/>
              <w:rPr>
                <w:rFonts w:hint="eastAsia" w:ascii="楷体" w:hAnsi="楷体" w:eastAsia="楷体" w:cs="楷体"/>
                <w:color w:val="000000"/>
                <w:kern w:val="0"/>
                <w:sz w:val="20"/>
                <w:szCs w:val="20"/>
                <w:lang w:bidi="ar"/>
              </w:rPr>
            </w:pPr>
            <w:r>
              <w:rPr>
                <w:rFonts w:hint="eastAsia" w:ascii="楷体" w:hAnsi="楷体" w:eastAsia="楷体" w:cs="楷体"/>
                <w:color w:val="000000"/>
                <w:kern w:val="0"/>
                <w:sz w:val="20"/>
                <w:szCs w:val="20"/>
                <w:lang w:bidi="ar"/>
              </w:rPr>
              <w:t>珠海华润银行股份有限公司</w:t>
            </w:r>
          </w:p>
        </w:tc>
        <w:tc>
          <w:tcPr>
            <w:tcW w:w="2202" w:type="pct"/>
            <w:tcBorders>
              <w:top w:val="single" w:color="auto" w:sz="4" w:space="0"/>
              <w:left w:val="nil"/>
              <w:bottom w:val="single" w:color="auto" w:sz="4" w:space="0"/>
              <w:right w:val="single" w:color="auto" w:sz="4" w:space="0"/>
            </w:tcBorders>
            <w:noWrap/>
            <w:vAlign w:val="center"/>
          </w:tcPr>
          <w:p>
            <w:pPr>
              <w:widowControl/>
              <w:spacing w:line="0" w:lineRule="atLeast"/>
              <w:jc w:val="center"/>
              <w:textAlignment w:val="center"/>
              <w:rPr>
                <w:rFonts w:hint="eastAsia" w:ascii="楷体" w:hAnsi="楷体" w:eastAsia="楷体" w:cs="楷体"/>
                <w:color w:val="000000"/>
                <w:kern w:val="0"/>
                <w:sz w:val="20"/>
                <w:szCs w:val="20"/>
                <w:highlight w:val="yellow"/>
                <w:lang w:bidi="ar"/>
              </w:rPr>
            </w:pPr>
          </w:p>
        </w:tc>
      </w:tr>
    </w:tbl>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673"/>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b/>
                <w:bCs/>
                <w:sz w:val="20"/>
                <w:szCs w:val="20"/>
              </w:rPr>
            </w:pPr>
            <w:r>
              <w:rPr>
                <w:rFonts w:hint="eastAsia" w:ascii="楷体" w:hAnsi="楷体" w:eastAsia="楷体"/>
                <w:b/>
                <w:bCs/>
                <w:sz w:val="20"/>
                <w:szCs w:val="20"/>
              </w:rPr>
              <w:t>序号</w:t>
            </w:r>
          </w:p>
        </w:tc>
        <w:tc>
          <w:tcPr>
            <w:tcW w:w="1568" w:type="pct"/>
            <w:vAlign w:val="center"/>
          </w:tcPr>
          <w:p>
            <w:pPr>
              <w:spacing w:line="0" w:lineRule="atLeast"/>
              <w:jc w:val="center"/>
              <w:rPr>
                <w:rFonts w:hint="eastAsia" w:ascii="楷体" w:hAnsi="楷体" w:eastAsia="楷体"/>
                <w:b/>
                <w:bCs/>
                <w:sz w:val="20"/>
                <w:szCs w:val="20"/>
              </w:rPr>
            </w:pPr>
            <w:r>
              <w:rPr>
                <w:rFonts w:hint="eastAsia" w:ascii="楷体" w:hAnsi="楷体" w:eastAsia="楷体"/>
                <w:b/>
                <w:bCs/>
                <w:sz w:val="20"/>
                <w:szCs w:val="20"/>
              </w:rPr>
              <w:t>投资合作机构</w:t>
            </w:r>
          </w:p>
        </w:tc>
        <w:tc>
          <w:tcPr>
            <w:tcW w:w="3045" w:type="pct"/>
            <w:vAlign w:val="center"/>
          </w:tcPr>
          <w:p>
            <w:pPr>
              <w:spacing w:line="0" w:lineRule="atLeast"/>
              <w:jc w:val="center"/>
              <w:rPr>
                <w:rFonts w:hint="eastAsia" w:ascii="楷体" w:hAnsi="楷体" w:eastAsia="楷体"/>
                <w:b/>
                <w:bCs/>
                <w:sz w:val="20"/>
                <w:szCs w:val="20"/>
              </w:rPr>
            </w:pPr>
            <w:r>
              <w:rPr>
                <w:rFonts w:hint="eastAsia" w:ascii="楷体" w:hAnsi="楷体" w:eastAsia="楷体"/>
                <w:b/>
                <w:bCs/>
                <w:sz w:val="20"/>
                <w:szCs w:val="20"/>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hint="eastAsia" w:ascii="楷体" w:hAnsi="楷体" w:eastAsia="楷体"/>
                <w:sz w:val="20"/>
                <w:szCs w:val="20"/>
              </w:rPr>
              <w:t>1</w:t>
            </w:r>
          </w:p>
        </w:tc>
        <w:tc>
          <w:tcPr>
            <w:tcW w:w="1568" w:type="pct"/>
            <w:vAlign w:val="center"/>
          </w:tcPr>
          <w:p>
            <w:pPr>
              <w:spacing w:line="0" w:lineRule="atLeast"/>
              <w:jc w:val="center"/>
              <w:rPr>
                <w:rFonts w:hint="eastAsia" w:ascii="楷体" w:hAnsi="楷体" w:eastAsia="楷体"/>
                <w:sz w:val="20"/>
                <w:szCs w:val="20"/>
              </w:rPr>
            </w:pPr>
            <w:r>
              <w:rPr>
                <w:rFonts w:hint="eastAsia" w:ascii="楷体" w:hAnsi="楷体" w:eastAsia="楷体"/>
                <w:sz w:val="20"/>
                <w:szCs w:val="20"/>
              </w:rPr>
              <w:t>弘业期货股份有限公司</w:t>
            </w:r>
          </w:p>
        </w:tc>
        <w:tc>
          <w:tcPr>
            <w:tcW w:w="3045" w:type="pct"/>
            <w:vAlign w:val="center"/>
          </w:tcPr>
          <w:p>
            <w:pPr>
              <w:spacing w:line="0" w:lineRule="atLeast"/>
              <w:rPr>
                <w:rFonts w:hint="eastAsia" w:ascii="楷体" w:hAnsi="楷体" w:eastAsia="楷体"/>
                <w:sz w:val="20"/>
                <w:szCs w:val="20"/>
              </w:rPr>
            </w:pPr>
            <w:r>
              <w:rPr>
                <w:rFonts w:hint="eastAsia" w:ascii="楷体" w:hAnsi="楷体" w:eastAsia="楷体"/>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hint="eastAsia" w:ascii="楷体" w:hAnsi="楷体" w:eastAsia="楷体"/>
                <w:sz w:val="20"/>
                <w:szCs w:val="20"/>
              </w:rPr>
              <w:t>2</w:t>
            </w:r>
          </w:p>
        </w:tc>
        <w:tc>
          <w:tcPr>
            <w:tcW w:w="1568" w:type="pct"/>
            <w:vAlign w:val="center"/>
          </w:tcPr>
          <w:p>
            <w:pPr>
              <w:spacing w:line="0" w:lineRule="atLeast"/>
              <w:jc w:val="center"/>
              <w:rPr>
                <w:rFonts w:hint="eastAsia" w:ascii="楷体" w:hAnsi="楷体" w:eastAsia="楷体"/>
                <w:sz w:val="20"/>
                <w:szCs w:val="20"/>
              </w:rPr>
            </w:pPr>
            <w:r>
              <w:rPr>
                <w:rFonts w:hint="eastAsia" w:ascii="楷体" w:hAnsi="楷体" w:eastAsia="楷体"/>
                <w:sz w:val="20"/>
                <w:szCs w:val="20"/>
              </w:rPr>
              <w:t>江苏省国际信托有限责任公司</w:t>
            </w:r>
          </w:p>
        </w:tc>
        <w:tc>
          <w:tcPr>
            <w:tcW w:w="3045" w:type="pct"/>
            <w:vAlign w:val="center"/>
          </w:tcPr>
          <w:p>
            <w:pPr>
              <w:spacing w:line="0" w:lineRule="atLeast"/>
              <w:rPr>
                <w:rFonts w:hint="eastAsia" w:ascii="楷体" w:hAnsi="楷体" w:eastAsia="楷体"/>
                <w:sz w:val="20"/>
                <w:szCs w:val="20"/>
              </w:rPr>
            </w:pPr>
            <w:r>
              <w:rPr>
                <w:rFonts w:hint="eastAsia" w:ascii="楷体" w:hAnsi="楷体" w:eastAsia="楷体"/>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hint="eastAsia" w:ascii="楷体" w:hAnsi="楷体" w:eastAsia="楷体"/>
                <w:sz w:val="20"/>
                <w:szCs w:val="20"/>
              </w:rPr>
              <w:t>3</w:t>
            </w:r>
          </w:p>
        </w:tc>
        <w:tc>
          <w:tcPr>
            <w:tcW w:w="1568" w:type="pct"/>
            <w:vAlign w:val="center"/>
          </w:tcPr>
          <w:p>
            <w:pPr>
              <w:spacing w:line="0" w:lineRule="atLeast"/>
              <w:jc w:val="center"/>
              <w:rPr>
                <w:rFonts w:hint="eastAsia" w:ascii="楷体" w:hAnsi="楷体" w:eastAsia="楷体"/>
                <w:sz w:val="20"/>
                <w:szCs w:val="20"/>
              </w:rPr>
            </w:pPr>
            <w:r>
              <w:rPr>
                <w:rFonts w:ascii="楷体" w:hAnsi="楷体" w:eastAsia="楷体"/>
                <w:sz w:val="20"/>
                <w:szCs w:val="18"/>
              </w:rPr>
              <w:t>创金合信基金管理有限公司</w:t>
            </w:r>
          </w:p>
        </w:tc>
        <w:tc>
          <w:tcPr>
            <w:tcW w:w="3045" w:type="pct"/>
            <w:vAlign w:val="center"/>
          </w:tcPr>
          <w:p>
            <w:pPr>
              <w:spacing w:line="0" w:lineRule="atLeast"/>
              <w:rPr>
                <w:rFonts w:hint="eastAsia" w:ascii="楷体" w:hAnsi="楷体" w:eastAsia="楷体"/>
                <w:sz w:val="20"/>
                <w:szCs w:val="20"/>
              </w:rPr>
            </w:pPr>
            <w:r>
              <w:rPr>
                <w:rFonts w:ascii="楷体" w:hAnsi="楷体" w:eastAsia="楷体"/>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4</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中粮信托有限责任公司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5</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永诚保险资产管理有限公司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永诚保险资产管理有限公司（简称“永诚资产”）是由永诚财产保险股份有限公司全资发起组建的保险资产管理公司，公司注册于浙江省宁波市，注册资本金为人民币3亿元。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6</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国投泰康信托有限公司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7</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国联证券资产管理有限公司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国联证券股份有限公司（以下简称“国联证券”）1992年11月成立，前身为无锡市证券公司，2008年5月通过改制更名为国联证券股份有限公司，注册地为无锡市，注册资本28.3亿元人民币，2015年7月6日在香港联合交易所上市（股票代码：01456），2020年7月31日在上海证券交易所上市（股票代码：601456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8</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安联保险资产管理有限公司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安联保险资产管理有限公司（简称安联资管或公司）于2021年7月27日获得中国银行保险监督管理委员会的开业批复，成为中国获批开业的外资独资保险资产管理公司，注册资本为五亿元人民币，注册地北京。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9</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华泰证券(上海)资产管理有限公司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华泰证券（上海）资产管理有限公司成立于2014年10月16日，系经中国证监会批准（证监许可【2014】679 号），由华泰证券股份有限公司100%控股设立，注册资本26亿元。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10</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陆家嘴国际信托有限公司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陆家嘴国际信托有限公司（简称陆家嘴信托或公司）是上海陆家嘴金融发展有限公司（以下简称“陆金发”）控股的信托机构，注册资本为104亿元。公司注册地为青岛，在部分城市设立业务团队。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11</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新华资产管理股份有限公司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12</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东方财富证券股份有限公司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东方财富证券股份有限公司，简称“东方财富证券”，是东方财富信息股份有限公司旗下的持牌证券公司，始终坚持用户第一，注重科技赋能、投研管理建设，旨在为客户提供全方位的财富管理服务。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13</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太平洋资产管理有限责任公司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太平洋资产管理有限责任公司（以下简称“太保资产”）于2006年6月经中国保监会批准成立，由中国太平洋保险（集团）股份有限公司控股，注册资本21亿元。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14</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中国人保资产管理有限公司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中国人保资产管理有限公司成立于2003年7月16日，是经国务院同意、原中国保监会批准设立的境内第一家保险资产管理公司，由中国人民保险集团股份有限公司发起。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15</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大家资产管理有限责任公司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16</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长城财富保险资产管理股份有限公司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17</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英大保险资产管理有限公司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18</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泰康资产管理有限责任公司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泰康资产管理有限责任公司成立于2006年，注册资本10亿元，是泰康保险集团子公司。截至2021年12月31日，公司管理资产总规模超过27000亿元，其中受托管理的第三方资产总规模近17000亿元，另类投资管理规模超5000亿元，养老金管理规模超6400亿元。2022年，泰康资产在“欧洲养老金与投资IPE”发布的“2022全球资管500强”名单中排名全球第75位，中国第5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19</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华鑫证券有限责任公司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20</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光大永明资产管理股份有限公司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光大永明资产管理股份有限公司(以下简称“光大永明资产”)于2012年4月11日在北京正式开业,是原中国保监会核准的第十二家保险资产管理公司，目前注册资本金为5亿元人民币。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5" w:type="pct"/>
            <w:vAlign w:val="center"/>
          </w:tcPr>
          <w:p>
            <w:pPr>
              <w:spacing w:line="0" w:lineRule="atLeast"/>
              <w:jc w:val="center"/>
              <w:rPr>
                <w:rFonts w:hint="eastAsia" w:ascii="楷体" w:hAnsi="楷体" w:eastAsia="楷体"/>
                <w:sz w:val="20"/>
                <w:szCs w:val="20"/>
              </w:rPr>
            </w:pPr>
            <w:r>
              <w:rPr>
                <w:rFonts w:ascii="楷体" w:hAnsi="楷体" w:eastAsia="楷体"/>
                <w:sz w:val="20"/>
                <w:szCs w:val="20"/>
              </w:rPr>
              <w:t>21</w:t>
            </w:r>
          </w:p>
        </w:tc>
        <w:tc>
          <w:tcPr>
            <w:tcW w:w="1568" w:type="pct"/>
            <w:vAlign w:val="center"/>
          </w:tcPr>
          <w:p>
            <w:pPr>
              <w:spacing w:line="0" w:lineRule="atLeast"/>
              <w:jc w:val="center"/>
              <w:rPr>
                <w:rFonts w:hint="eastAsia" w:ascii="楷体" w:hAnsi="楷体" w:eastAsia="楷体"/>
                <w:sz w:val="20"/>
                <w:szCs w:val="18"/>
              </w:rPr>
            </w:pPr>
            <w:r>
              <w:rPr>
                <w:rFonts w:ascii="楷体" w:hAnsi="楷体" w:eastAsia="楷体"/>
                <w:sz w:val="20"/>
                <w:szCs w:val="18"/>
              </w:rPr>
              <w:t>华润深国投信托有限公司</w:t>
            </w:r>
          </w:p>
        </w:tc>
        <w:tc>
          <w:tcPr>
            <w:tcW w:w="3045" w:type="pct"/>
            <w:vAlign w:val="center"/>
          </w:tcPr>
          <w:p>
            <w:pPr>
              <w:spacing w:line="0" w:lineRule="atLeast"/>
              <w:rPr>
                <w:rFonts w:hint="eastAsia" w:ascii="楷体" w:hAnsi="楷体" w:eastAsia="楷体"/>
                <w:sz w:val="20"/>
                <w:szCs w:val="18"/>
              </w:rPr>
            </w:pPr>
            <w:r>
              <w:rPr>
                <w:rFonts w:hint="eastAsia" w:ascii="楷体" w:hAnsi="楷体" w:eastAsia="楷体"/>
                <w:sz w:val="20"/>
                <w:szCs w:val="18"/>
              </w:rPr>
              <w:t>华润信托于1982年8月24日成立，原名为深圳市信托投资公司，注册资本人民币 5,813万元。目前，公司注册资本人民币110亿元，华润金控投资有限公司持有公司51%股权，深圳市投资控股有限公司持有公司49%股权。</w:t>
            </w:r>
          </w:p>
        </w:tc>
      </w:tr>
    </w:tbl>
    <w:p>
      <w:pPr>
        <w:tabs>
          <w:tab w:val="left" w:pos="1134"/>
        </w:tabs>
        <w:ind w:left="420" w:left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w:t>
      </w:r>
    </w:p>
    <w:p>
      <w:pPr>
        <w:tabs>
          <w:tab w:val="left" w:pos="1134"/>
        </w:tabs>
        <w:rPr>
          <w:rFonts w:hint="eastAsia" w:ascii="楷体" w:hAnsi="楷体" w:eastAsia="楷体"/>
          <w:sz w:val="28"/>
          <w:szCs w:val="28"/>
        </w:rPr>
      </w:pPr>
      <w:r>
        <w:rPr>
          <w:rFonts w:hint="eastAsia" w:ascii="楷体" w:hAnsi="楷体" w:eastAsia="楷体"/>
          <w:sz w:val="24"/>
          <w:szCs w:val="24"/>
        </w:rPr>
        <w:t>求对合作机构进行准入，签署相关协议后，披露新增的投资合作机构。</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1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参与主体用语</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★管理人/产品管理人/理财产品管理人：指苏银理财有限责任公司（本文简称“苏银理财”）。</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★代销机构/</w:t>
      </w:r>
      <w:r>
        <w:rPr>
          <w:rFonts w:ascii="楷体" w:hAnsi="楷体" w:eastAsia="楷体" w:cs="Calibri"/>
          <w:sz w:val="24"/>
          <w:szCs w:val="24"/>
        </w:rPr>
        <w:t>销售机构</w:t>
      </w:r>
      <w:r>
        <w:rPr>
          <w:rFonts w:hint="eastAsia" w:ascii="楷体" w:hAnsi="楷体" w:eastAsia="楷体" w:cs="Calibri"/>
          <w:sz w:val="24"/>
          <w:szCs w:val="24"/>
        </w:rPr>
        <w:t>：指符合《关于规范金融机构资产管理业务的指导意见》、《商业银行理财业务监督管理办法》、《商业银行理财子公司管理办法》、《理财公司理财产品销售管理暂行办法》和金融监管总局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1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投资者：指符合相关法律法规、监管规定要求的，可以购买理财产品份额的自然人和法人。</w:t>
      </w:r>
    </w:p>
    <w:p>
      <w:pPr>
        <w:numPr>
          <w:ilvl w:val="0"/>
          <w:numId w:val="1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理财产品用语</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w:t>
      </w:r>
      <w:r>
        <w:rPr>
          <w:rFonts w:ascii="楷体" w:hAnsi="楷体" w:eastAsia="楷体" w:cs="Calibri"/>
          <w:sz w:val="24"/>
          <w:szCs w:val="24"/>
        </w:rPr>
        <w:t>/</w:t>
      </w:r>
      <w:r>
        <w:rPr>
          <w:rFonts w:hint="eastAsia" w:ascii="楷体" w:hAnsi="楷体" w:eastAsia="楷体" w:cs="Calibri"/>
          <w:sz w:val="24"/>
          <w:szCs w:val="24"/>
        </w:rPr>
        <w:t>产品：指苏银理财按照约定条件和实际投资收益情况向投资者支付收益、不保证本金支付和收益水平的非保本理财产品。</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本理财产品</w:t>
      </w:r>
      <w:r>
        <w:rPr>
          <w:rFonts w:ascii="楷体" w:hAnsi="楷体" w:eastAsia="楷体" w:cs="Calibri"/>
          <w:sz w:val="24"/>
          <w:szCs w:val="24"/>
        </w:rPr>
        <w:t>/</w:t>
      </w:r>
      <w:r>
        <w:rPr>
          <w:rFonts w:hint="eastAsia" w:ascii="楷体" w:hAnsi="楷体" w:eastAsia="楷体" w:cs="Calibri"/>
          <w:sz w:val="24"/>
          <w:szCs w:val="24"/>
        </w:rPr>
        <w:t>本产品：指“苏银理财恒源灵动最短持有14天14号”理财产品。</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理财产品登记编码：指本款理财产品在全国银行业理财信息登记系统中的编码，投资者可在中国理财网进行查询该编码。</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理财产品代码/产品代码：指本款理财产品在全国银行业理财信息登记系统中登记的内部识别码。</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理财产品份额：指投资者持有本理财产品的单位数额。投资者基于其所持有的理财产品单位数额享有理财产品利益、承担理财产品风险。</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理财产品资产净值/理财资产净值/产品资产净值：产品资产净值=产品资产总值-产品负债总值。</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产品资产总值：指产品拥有的各类有价证券、银行存款、应收款项及其他资产的价值总和。</w:t>
      </w:r>
    </w:p>
    <w:p>
      <w:pPr>
        <w:numPr>
          <w:ilvl w:val="0"/>
          <w:numId w:val="15"/>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产品负债总值：指产品运作及融资时形成的负债价值总和，包括融资资金本息、应付各项费用（包括托管费、销售服务费、投资管理费、超额业绩报酬（如有）、其他费用等）、应付税金及其他应付款项等。</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份额单位净值/理财产品单位净值/单位净值：指理财产品份额的单位净值，即每1份理财产品份额以人民币计价的价格。理财产品单位净值=理财资产净值/产品总份额。投资者按该份额单位净值进行理财产品申购、赎回和终止时分配。</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理财产品估值：指计算评估理财产品资产和负债以确定理财产品单位净值的过程。</w:t>
      </w:r>
    </w:p>
    <w:p>
      <w:pPr>
        <w:numPr>
          <w:ilvl w:val="0"/>
          <w:numId w:val="15"/>
        </w:numPr>
        <w:tabs>
          <w:tab w:val="left" w:pos="851"/>
        </w:tabs>
        <w:ind w:left="0" w:firstLine="482" w:firstLineChars="200"/>
        <w:rPr>
          <w:rFonts w:hint="eastAsia" w:ascii="楷体" w:hAnsi="楷体" w:eastAsia="楷体" w:cs="Calibri"/>
          <w:b/>
          <w:sz w:val="24"/>
          <w:szCs w:val="24"/>
        </w:rPr>
      </w:pPr>
      <w:r>
        <w:rPr>
          <w:rFonts w:hint="eastAsia" w:ascii="楷体" w:hAnsi="楷体" w:eastAsia="楷体" w:cs="Calibri"/>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★理财产品收益/理财收益：指投资者投资理财产品获得的投资收益，该收益为其获得分配的全部理财产品利益中扣除理财产品本金的部分。</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认购：指投资者根据理财产品说明书约定在募集期内申请购买本产品理财产品份额的行为。</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15"/>
        </w:numPr>
        <w:tabs>
          <w:tab w:val="left" w:pos="851"/>
        </w:tabs>
        <w:ind w:left="0" w:firstLine="480" w:firstLineChars="200"/>
        <w:rPr>
          <w:rFonts w:hint="eastAsia" w:ascii="楷体" w:hAnsi="楷体" w:eastAsia="楷体" w:cs="Calibri"/>
          <w:sz w:val="24"/>
          <w:szCs w:val="24"/>
        </w:rPr>
      </w:pPr>
      <w:r>
        <w:rPr>
          <w:rFonts w:ascii="楷体" w:hAnsi="楷体" w:eastAsia="楷体" w:cs="Calibri"/>
          <w:sz w:val="24"/>
          <w:szCs w:val="24"/>
        </w:rPr>
        <w:t>申购、赎回申请</w:t>
      </w:r>
      <w:r>
        <w:rPr>
          <w:rFonts w:hint="eastAsia" w:ascii="楷体" w:hAnsi="楷体" w:eastAsia="楷体" w:cs="Calibri"/>
          <w:sz w:val="24"/>
          <w:szCs w:val="24"/>
        </w:rPr>
        <w:t>：</w:t>
      </w:r>
      <w:r>
        <w:rPr>
          <w:rFonts w:ascii="楷体" w:hAnsi="楷体" w:eastAsia="楷体" w:cs="Calibri"/>
          <w:sz w:val="24"/>
          <w:szCs w:val="24"/>
        </w:rPr>
        <w:t>指在</w:t>
      </w:r>
      <w:r>
        <w:rPr>
          <w:rFonts w:hint="eastAsia" w:ascii="楷体" w:hAnsi="楷体" w:eastAsia="楷体" w:cs="Calibri"/>
          <w:sz w:val="24"/>
          <w:szCs w:val="24"/>
        </w:rPr>
        <w:t>理财产品开放日</w:t>
      </w:r>
      <w:r>
        <w:rPr>
          <w:rFonts w:ascii="楷体" w:hAnsi="楷体" w:eastAsia="楷体" w:cs="Calibri"/>
          <w:sz w:val="24"/>
          <w:szCs w:val="24"/>
        </w:rPr>
        <w:t>投资者向</w:t>
      </w:r>
      <w:r>
        <w:rPr>
          <w:rFonts w:hint="eastAsia" w:ascii="楷体" w:hAnsi="楷体" w:eastAsia="楷体" w:cs="Calibri"/>
          <w:sz w:val="24"/>
          <w:szCs w:val="24"/>
        </w:rPr>
        <w:t>理财产品管理人</w:t>
      </w:r>
      <w:r>
        <w:rPr>
          <w:rFonts w:ascii="楷体" w:hAnsi="楷体" w:eastAsia="楷体" w:cs="Calibri"/>
          <w:sz w:val="24"/>
          <w:szCs w:val="24"/>
        </w:rPr>
        <w:t>提出申请对理财</w:t>
      </w:r>
      <w:r>
        <w:rPr>
          <w:rFonts w:hint="eastAsia" w:ascii="楷体" w:hAnsi="楷体" w:eastAsia="楷体" w:cs="Calibri"/>
          <w:sz w:val="24"/>
          <w:szCs w:val="24"/>
        </w:rPr>
        <w:t>产品</w:t>
      </w:r>
      <w:r>
        <w:rPr>
          <w:rFonts w:ascii="楷体" w:hAnsi="楷体" w:eastAsia="楷体" w:cs="Calibri"/>
          <w:sz w:val="24"/>
          <w:szCs w:val="24"/>
        </w:rPr>
        <w:t>份额进行购买或卖出的行为。</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巨额赎回：理财产品每个开放日投资者净赎回额（赎回申请份额总数扣除申购申请份额总数）超过本理财产品上一工作日日终份额10%时，即为发生巨额赎回。</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numPr>
          <w:ilvl w:val="0"/>
          <w:numId w:val="15"/>
        </w:numPr>
        <w:tabs>
          <w:tab w:val="left" w:pos="851"/>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1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期间与日期</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w:t>
      </w:r>
      <w:r>
        <w:rPr>
          <w:rFonts w:ascii="楷体" w:hAnsi="楷体" w:eastAsia="楷体" w:cs="Calibri"/>
          <w:sz w:val="24"/>
          <w:szCs w:val="24"/>
        </w:rPr>
        <w:t>指上海证券交易所</w:t>
      </w:r>
      <w:r>
        <w:rPr>
          <w:rFonts w:hint="eastAsia" w:ascii="楷体" w:hAnsi="楷体" w:eastAsia="楷体" w:cs="Calibri"/>
          <w:sz w:val="24"/>
          <w:szCs w:val="24"/>
        </w:rPr>
        <w:t>、</w:t>
      </w:r>
      <w:r>
        <w:rPr>
          <w:rFonts w:ascii="楷体" w:hAnsi="楷体" w:eastAsia="楷体" w:cs="Calibri"/>
          <w:sz w:val="24"/>
          <w:szCs w:val="24"/>
        </w:rPr>
        <w:t>深圳证券交易所的正常开盘交易日</w:t>
      </w:r>
      <w:r>
        <w:rPr>
          <w:rFonts w:hint="eastAsia" w:ascii="楷体" w:hAnsi="楷体" w:eastAsia="楷体" w:cs="Calibri"/>
          <w:sz w:val="24"/>
          <w:szCs w:val="24"/>
        </w:rPr>
        <w:t>。</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交易日：</w:t>
      </w:r>
      <w:r>
        <w:rPr>
          <w:rFonts w:ascii="楷体" w:hAnsi="楷体" w:eastAsia="楷体" w:cs="Calibri"/>
          <w:sz w:val="24"/>
          <w:szCs w:val="24"/>
        </w:rPr>
        <w:t>指上海证券交易所</w:t>
      </w:r>
      <w:r>
        <w:rPr>
          <w:rFonts w:hint="eastAsia" w:ascii="楷体" w:hAnsi="楷体" w:eastAsia="楷体" w:cs="Calibri"/>
          <w:sz w:val="24"/>
          <w:szCs w:val="24"/>
        </w:rPr>
        <w:t>、</w:t>
      </w:r>
      <w:r>
        <w:rPr>
          <w:rFonts w:ascii="楷体" w:hAnsi="楷体" w:eastAsia="楷体" w:cs="Calibri"/>
          <w:sz w:val="24"/>
          <w:szCs w:val="24"/>
        </w:rPr>
        <w:t>深圳证券交易所的正常开盘交易日</w:t>
      </w:r>
      <w:r>
        <w:rPr>
          <w:rFonts w:hint="eastAsia" w:ascii="楷体" w:hAnsi="楷体" w:eastAsia="楷体" w:cs="Calibri"/>
          <w:sz w:val="24"/>
          <w:szCs w:val="24"/>
        </w:rPr>
        <w:t>。</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成立日：指本产品开始运作的日期。</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份额登记日/份额确认日：指管理人对投资者提交的认购申请进行份额登记的日期。</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终止日/到期日：指本产品终止的日期。</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估值日：指产品管理人对理财产品项下资产进行估值的日期。</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兑付日：指投资者理财资金到达投资者资金账户的日期。</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募集期：指理财产品成立前，理财产品管理人接受理财产品认购的时间。</w:t>
      </w:r>
    </w:p>
    <w:p>
      <w:pPr>
        <w:numPr>
          <w:ilvl w:val="0"/>
          <w:numId w:val="1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开放日：本产品封闭运作期结束后，后续每个工作日为开放日。</w:t>
      </w:r>
      <w:r>
        <w:rPr>
          <w:rFonts w:ascii="楷体" w:hAnsi="楷体" w:eastAsia="楷体" w:cs="Calibri"/>
          <w:sz w:val="24"/>
          <w:szCs w:val="24"/>
        </w:rPr>
        <w:t>管理人在开放日对投资者的申购</w:t>
      </w:r>
      <w:r>
        <w:rPr>
          <w:rFonts w:hint="eastAsia" w:ascii="楷体" w:hAnsi="楷体" w:eastAsia="楷体" w:cs="Calibri"/>
          <w:sz w:val="24"/>
          <w:szCs w:val="24"/>
        </w:rPr>
        <w:t>/</w:t>
      </w:r>
      <w:r>
        <w:rPr>
          <w:rFonts w:ascii="楷体" w:hAnsi="楷体" w:eastAsia="楷体" w:cs="Calibri"/>
          <w:sz w:val="24"/>
          <w:szCs w:val="24"/>
        </w:rPr>
        <w:t>赎回</w:t>
      </w:r>
      <w:r>
        <w:rPr>
          <w:rFonts w:hint="eastAsia" w:ascii="楷体" w:hAnsi="楷体" w:eastAsia="楷体" w:cs="Calibri"/>
          <w:sz w:val="24"/>
          <w:szCs w:val="24"/>
        </w:rPr>
        <w:t>申请</w:t>
      </w:r>
      <w:r>
        <w:rPr>
          <w:rFonts w:ascii="楷体" w:hAnsi="楷体" w:eastAsia="楷体" w:cs="Calibri"/>
          <w:sz w:val="24"/>
          <w:szCs w:val="24"/>
        </w:rPr>
        <w:t>进行确认</w:t>
      </w:r>
      <w:r>
        <w:rPr>
          <w:rFonts w:hint="eastAsia" w:ascii="楷体" w:hAnsi="楷体" w:eastAsia="楷体" w:cs="Calibri"/>
          <w:sz w:val="24"/>
          <w:szCs w:val="24"/>
        </w:rPr>
        <w:t>。</w:t>
      </w:r>
    </w:p>
    <w:p>
      <w:pPr>
        <w:tabs>
          <w:tab w:val="left" w:pos="728"/>
        </w:tabs>
        <w:ind w:left="420" w:leftChars="200"/>
        <w:jc w:val="left"/>
        <w:rPr>
          <w:rFonts w:hint="eastAsia" w:ascii="楷体" w:hAnsi="楷体" w:eastAsia="楷体" w:cs="Calibri"/>
          <w:sz w:val="24"/>
          <w:szCs w:val="24"/>
        </w:rPr>
      </w:pPr>
      <w:r>
        <w:rPr>
          <w:rFonts w:hint="eastAsia" w:ascii="楷体" w:hAnsi="楷体" w:eastAsia="楷体" w:cs="Calibri"/>
          <w:sz w:val="24"/>
          <w:szCs w:val="24"/>
        </w:rPr>
        <w:t>10.产品存续期：指自理财产品成立日起，至理财产品终止日的期间。</w:t>
      </w:r>
    </w:p>
    <w:p>
      <w:pPr>
        <w:numPr>
          <w:ilvl w:val="0"/>
          <w:numId w:val="13"/>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其他</w:t>
      </w:r>
    </w:p>
    <w:p>
      <w:pPr>
        <w:numPr>
          <w:ilvl w:val="0"/>
          <w:numId w:val="1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元：指人民币元。</w:t>
      </w:r>
    </w:p>
    <w:p>
      <w:pPr>
        <w:numPr>
          <w:ilvl w:val="0"/>
          <w:numId w:val="1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17"/>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不可抗力：指理财产品合同各方当事人所不能预见、不能避免且不能克服的客观情况，使得任何一方当事人无法及时履行理财合同的全部或部分义务，该类事件包括但不限于：</w:t>
      </w:r>
    </w:p>
    <w:p>
      <w:pPr>
        <w:numPr>
          <w:ilvl w:val="0"/>
          <w:numId w:val="18"/>
        </w:numPr>
        <w:tabs>
          <w:tab w:val="left" w:pos="728"/>
        </w:tabs>
        <w:ind w:left="420" w:leftChars="200"/>
        <w:rPr>
          <w:rFonts w:hint="eastAsia" w:ascii="楷体" w:hAnsi="楷体" w:eastAsia="楷体" w:cs="Calibri"/>
          <w:sz w:val="24"/>
          <w:szCs w:val="24"/>
        </w:rPr>
      </w:pPr>
      <w:r>
        <w:rPr>
          <w:rFonts w:hint="eastAsia" w:ascii="楷体" w:hAnsi="楷体" w:eastAsia="楷体" w:cs="Calibri"/>
          <w:sz w:val="24"/>
          <w:szCs w:val="24"/>
        </w:rPr>
        <w:t>地震、海啸、台风、洪水、火灾、停电、严重传染病等；</w:t>
      </w:r>
    </w:p>
    <w:p>
      <w:pPr>
        <w:numPr>
          <w:ilvl w:val="0"/>
          <w:numId w:val="18"/>
        </w:numPr>
        <w:tabs>
          <w:tab w:val="left" w:pos="728"/>
        </w:tabs>
        <w:ind w:left="420" w:leftChars="200"/>
        <w:rPr>
          <w:rFonts w:hint="eastAsia" w:ascii="楷体" w:hAnsi="楷体" w:eastAsia="楷体" w:cs="Calibri"/>
          <w:sz w:val="24"/>
          <w:szCs w:val="24"/>
        </w:rPr>
      </w:pPr>
      <w:r>
        <w:rPr>
          <w:rFonts w:hint="eastAsia" w:ascii="楷体" w:hAnsi="楷体" w:eastAsia="楷体" w:cs="Calibri"/>
          <w:sz w:val="24"/>
          <w:szCs w:val="24"/>
        </w:rPr>
        <w:t>战争、政变、恐怖主义、骚乱、罢工等；</w:t>
      </w:r>
    </w:p>
    <w:p>
      <w:pPr>
        <w:tabs>
          <w:tab w:val="left" w:pos="728"/>
        </w:tabs>
        <w:ind w:firstLine="408" w:firstLineChars="170"/>
        <w:rPr>
          <w:rFonts w:hint="eastAsia" w:ascii="楷体" w:hAnsi="楷体" w:eastAsia="楷体" w:cs="Calibri"/>
          <w:sz w:val="24"/>
          <w:szCs w:val="24"/>
        </w:rPr>
      </w:pPr>
      <w:r>
        <w:rPr>
          <w:rFonts w:hint="eastAsia" w:ascii="楷体" w:hAnsi="楷体" w:eastAsia="楷体" w:cs="Calibri"/>
          <w:sz w:val="24"/>
          <w:szCs w:val="24"/>
        </w:rPr>
        <w:t>（3）新的法律法规、国家政策颁布实施导致原适用的法律法规、国家政策失效；</w:t>
      </w:r>
    </w:p>
    <w:p>
      <w:pPr>
        <w:tabs>
          <w:tab w:val="left" w:pos="728"/>
        </w:tabs>
        <w:ind w:firstLine="408" w:firstLineChars="170"/>
        <w:rPr>
          <w:rFonts w:hint="eastAsia" w:ascii="楷体" w:hAnsi="楷体" w:eastAsia="楷体" w:cs="Calibri"/>
          <w:sz w:val="24"/>
          <w:szCs w:val="24"/>
        </w:rPr>
      </w:pPr>
      <w:r>
        <w:rPr>
          <w:rFonts w:hint="eastAsia" w:ascii="楷体" w:hAnsi="楷体" w:eastAsia="楷体" w:cs="Calibri"/>
          <w:sz w:val="24"/>
          <w:szCs w:val="24"/>
        </w:rPr>
        <w:t>（4）因不可归咎于理财产品合同当事人的事由，金融监管机构强制要求终止该理财产品；</w:t>
      </w:r>
    </w:p>
    <w:p>
      <w:pPr>
        <w:tabs>
          <w:tab w:val="left" w:pos="728"/>
        </w:tabs>
        <w:ind w:firstLine="408" w:firstLineChars="170"/>
        <w:rPr>
          <w:rFonts w:hint="eastAsia" w:ascii="楷体" w:hAnsi="楷体" w:eastAsia="楷体" w:cs="Calibri"/>
          <w:sz w:val="24"/>
          <w:szCs w:val="24"/>
        </w:rPr>
      </w:pPr>
      <w:r>
        <w:rPr>
          <w:rFonts w:hint="eastAsia" w:ascii="楷体" w:hAnsi="楷体" w:eastAsia="楷体" w:cs="Calibri"/>
          <w:sz w:val="24"/>
          <w:szCs w:val="24"/>
        </w:rPr>
        <w:t>（5）网络系统遭受攻击、电信部门技术调整或故障等原因导致的服务中断和延迟等。</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rPr>
      </w:pPr>
      <w:r>
        <w:rPr>
          <w:rFonts w:hint="eastAsia" w:ascii="楷体" w:hAnsi="楷体" w:eastAsia="楷体"/>
          <w:sz w:val="24"/>
          <w:szCs w:val="24"/>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hint="eastAsia" w:ascii="楷体" w:hAnsi="楷体" w:eastAsia="楷体"/>
          <w:b/>
          <w:sz w:val="24"/>
          <w:szCs w:val="24"/>
          <w:u w:val="single"/>
        </w:rPr>
      </w:pPr>
      <w:r>
        <w:rPr>
          <w:rFonts w:hint="eastAsia" w:ascii="楷体" w:hAnsi="楷体" w:eastAsia="楷体"/>
          <w:b/>
          <w:bCs/>
          <w:sz w:val="24"/>
          <w:szCs w:val="24"/>
          <w:u w:val="single"/>
        </w:rPr>
        <w:t>如本产品通过代理销售机构渠道销售</w:t>
      </w:r>
      <w:r>
        <w:rPr>
          <w:rFonts w:hint="eastAsia" w:ascii="楷体" w:hAnsi="楷体" w:eastAsia="楷体"/>
          <w:b/>
          <w:sz w:val="24"/>
          <w:szCs w:val="24"/>
          <w:u w:val="single"/>
        </w:rPr>
        <w:t>，理财产品评级以代理销售机构最终披露的评级结果为准。</w:t>
      </w:r>
    </w:p>
    <w:p>
      <w:pPr>
        <w:ind w:firstLine="480" w:firstLineChars="200"/>
        <w:rPr>
          <w:rFonts w:hint="eastAsia" w:ascii="楷体" w:hAnsi="楷体" w:eastAsia="楷体"/>
          <w:b/>
          <w:sz w:val="24"/>
          <w:szCs w:val="24"/>
          <w:u w:val="single"/>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vAlign w:val="bottom"/>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1" w:hRule="atLeast"/>
          <w:jc w:val="center"/>
        </w:trPr>
        <w:tc>
          <w:tcPr>
            <w:tcW w:w="2143" w:type="dxa"/>
            <w:vAlign w:val="bottom"/>
          </w:tcPr>
          <w:p>
            <w:pPr>
              <w:autoSpaceDE w:val="0"/>
              <w:autoSpaceDN w:val="0"/>
              <w:adjustRightInd w:val="0"/>
              <w:jc w:val="center"/>
              <w:rPr>
                <w:rFonts w:hint="eastAsia"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vAlign w:val="center"/>
          </w:tcPr>
          <w:p>
            <w:pPr>
              <w:autoSpaceDE w:val="0"/>
              <w:autoSpaceDN w:val="0"/>
              <w:adjustRightInd w:val="0"/>
              <w:jc w:val="center"/>
              <w:rPr>
                <w:rFonts w:hint="eastAsia"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vAlign w:val="center"/>
          </w:tcPr>
          <w:p>
            <w:pPr>
              <w:autoSpaceDE w:val="0"/>
              <w:autoSpaceDN w:val="0"/>
              <w:adjustRightInd w:val="0"/>
              <w:jc w:val="center"/>
              <w:rPr>
                <w:rFonts w:hint="eastAsia"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vAlign w:val="center"/>
          </w:tcPr>
          <w:p>
            <w:pPr>
              <w:autoSpaceDE w:val="0"/>
              <w:autoSpaceDN w:val="0"/>
              <w:adjustRightInd w:val="0"/>
              <w:jc w:val="center"/>
              <w:rPr>
                <w:rFonts w:hint="eastAsia"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vAlign w:val="bottom"/>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vAlign w:val="bottom"/>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vAlign w:val="bottom"/>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vAlign w:val="center"/>
          </w:tcPr>
          <w:p>
            <w:pPr>
              <w:autoSpaceDE w:val="0"/>
              <w:autoSpaceDN w:val="0"/>
              <w:adjustRightInd w:val="0"/>
              <w:jc w:val="center"/>
              <w:rPr>
                <w:rFonts w:hint="eastAsia"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投资管理</w:t>
      </w:r>
    </w:p>
    <w:p>
      <w:pPr>
        <w:numPr>
          <w:ilvl w:val="0"/>
          <w:numId w:val="1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投资范围和比例</w:t>
      </w:r>
    </w:p>
    <w:p>
      <w:pPr>
        <w:ind w:firstLine="480" w:firstLineChars="200"/>
        <w:rPr>
          <w:rFonts w:hint="eastAsia" w:ascii="楷体" w:hAnsi="楷体" w:eastAsia="楷体"/>
          <w:sz w:val="24"/>
          <w:szCs w:val="24"/>
        </w:rPr>
      </w:pPr>
      <w:r>
        <w:rPr>
          <w:rFonts w:hint="eastAsia" w:ascii="楷体" w:hAnsi="楷体" w:eastAsia="楷体"/>
          <w:sz w:val="24"/>
          <w:szCs w:val="24"/>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p>
    <w:p>
      <w:pPr>
        <w:ind w:firstLine="480" w:firstLineChars="200"/>
        <w:rPr>
          <w:rFonts w:hint="eastAsia" w:ascii="楷体" w:hAnsi="楷体" w:eastAsia="楷体"/>
          <w:sz w:val="24"/>
          <w:szCs w:val="24"/>
        </w:rPr>
      </w:pPr>
      <w:r>
        <w:rPr>
          <w:rFonts w:hint="eastAsia" w:ascii="楷体" w:hAnsi="楷体" w:eastAsia="楷体"/>
          <w:sz w:val="24"/>
          <w:szCs w:val="24"/>
        </w:rPr>
        <w:t>其中现金或者到期日在一年以内的国债、中央银行票据和政策性金融债券不低于产品净资产的5%。流动性受限资产的市值在开放日不得超过该产品资产净值的15%。7个工作日可变现资产的可变现价值不低于该产品资产净值的10%。</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投资策略</w:t>
      </w:r>
    </w:p>
    <w:p>
      <w:pPr>
        <w:ind w:firstLine="480" w:firstLineChars="200"/>
        <w:rPr>
          <w:rFonts w:hint="eastAsia" w:ascii="楷体" w:hAnsi="楷体" w:eastAsia="楷体"/>
          <w:sz w:val="24"/>
          <w:szCs w:val="24"/>
        </w:rPr>
      </w:pPr>
      <w:r>
        <w:rPr>
          <w:rFonts w:hint="eastAsia" w:ascii="楷体" w:hAnsi="楷体" w:eastAsia="楷体"/>
          <w:sz w:val="24"/>
          <w:szCs w:val="24"/>
        </w:rPr>
        <w:t>本产品以低波资产筑底，投资货币市场工具等低波动资产，计划配置部分优质信用债，增加组合收益来源，产品将严格控制组合久期和回撤，在兼顾流动性的同时，力争为广大投资者创造稳健的投资回报。</w:t>
      </w:r>
    </w:p>
    <w:p>
      <w:pPr>
        <w:numPr>
          <w:ilvl w:val="0"/>
          <w:numId w:val="1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投资集中度限制</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1.本产品持有单只证券或者单只公募证券投资基金的市值不得超过产品净资产的</w:t>
      </w:r>
      <w:r>
        <w:rPr>
          <w:rFonts w:ascii="楷体" w:hAnsi="楷体" w:eastAsia="楷体" w:cs="Calibri"/>
          <w:sz w:val="24"/>
          <w:szCs w:val="24"/>
        </w:rPr>
        <w:t>10%</w:t>
      </w:r>
      <w:r>
        <w:rPr>
          <w:rFonts w:hint="eastAsia" w:ascii="楷体" w:hAnsi="楷体" w:eastAsia="楷体" w:cs="Calibri"/>
          <w:sz w:val="24"/>
          <w:szCs w:val="24"/>
        </w:rPr>
        <w:t>。</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2.管理人全部公募产品持有单只证券或单只公募证券投资基金的市值，不得超过该证券市值或该公募证券投资基金市值的</w:t>
      </w:r>
      <w:r>
        <w:rPr>
          <w:rFonts w:ascii="楷体" w:hAnsi="楷体" w:eastAsia="楷体" w:cs="Calibri"/>
          <w:sz w:val="24"/>
          <w:szCs w:val="24"/>
        </w:rPr>
        <w:t>30%</w:t>
      </w:r>
      <w:r>
        <w:rPr>
          <w:rFonts w:hint="eastAsia" w:ascii="楷体" w:hAnsi="楷体" w:eastAsia="楷体" w:cs="Calibri"/>
          <w:sz w:val="24"/>
          <w:szCs w:val="24"/>
        </w:rPr>
        <w:t>。</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3.管理人全部产品持有单一上市公司发行的股票，不得超过该上市公司可流通股票的</w:t>
      </w:r>
      <w:r>
        <w:rPr>
          <w:rFonts w:ascii="楷体" w:hAnsi="楷体" w:eastAsia="楷体" w:cs="Calibri"/>
          <w:sz w:val="24"/>
          <w:szCs w:val="24"/>
        </w:rPr>
        <w:t>30%</w:t>
      </w:r>
      <w:r>
        <w:rPr>
          <w:rFonts w:hint="eastAsia" w:ascii="楷体" w:hAnsi="楷体" w:eastAsia="楷体" w:cs="Calibri"/>
          <w:sz w:val="24"/>
          <w:szCs w:val="24"/>
        </w:rPr>
        <w:t>。</w:t>
      </w:r>
    </w:p>
    <w:p>
      <w:pPr>
        <w:tabs>
          <w:tab w:val="left" w:pos="728"/>
        </w:tabs>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杠杆</w:t>
      </w:r>
      <w:r>
        <w:rPr>
          <w:rFonts w:ascii="楷体" w:hAnsi="楷体" w:eastAsia="楷体" w:cs="Calibri"/>
          <w:sz w:val="24"/>
          <w:szCs w:val="24"/>
        </w:rPr>
        <w:t>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w:t>
      </w:r>
    </w:p>
    <w:p>
      <w:pPr>
        <w:tabs>
          <w:tab w:val="left" w:pos="993"/>
        </w:tabs>
        <w:rPr>
          <w:rFonts w:hint="eastAsia" w:ascii="楷体" w:hAnsi="楷体" w:eastAsia="楷体" w:cs="Calibri"/>
          <w:sz w:val="24"/>
          <w:szCs w:val="24"/>
        </w:rPr>
      </w:pPr>
      <w:r>
        <w:rPr>
          <w:rFonts w:hint="eastAsia" w:ascii="楷体" w:hAnsi="楷体" w:eastAsia="楷体" w:cs="Calibri"/>
          <w:sz w:val="24"/>
          <w:szCs w:val="24"/>
        </w:rPr>
        <w:t>参照监管规定调整）。</w:t>
      </w:r>
    </w:p>
    <w:p>
      <w:pPr>
        <w:numPr>
          <w:ilvl w:val="0"/>
          <w:numId w:val="1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产品认购</w:t>
      </w:r>
    </w:p>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认购期间：2025年7月7日9:00至2025年7月9日17:00。（</w:t>
      </w:r>
      <w:r>
        <w:rPr>
          <w:rFonts w:hint="eastAsia" w:ascii="楷体" w:hAnsi="楷体" w:eastAsia="楷体"/>
          <w:sz w:val="24"/>
          <w:szCs w:val="24"/>
        </w:rPr>
        <w:t>以各销售机构设置的认购时间为准</w:t>
      </w:r>
      <w:r>
        <w:rPr>
          <w:rFonts w:hint="eastAsia" w:ascii="楷体" w:hAnsi="楷体" w:eastAsia="楷体" w:cs="Calibri"/>
          <w:sz w:val="24"/>
          <w:szCs w:val="24"/>
        </w:rPr>
        <w:t>）</w:t>
      </w:r>
    </w:p>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p>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p>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本理财产品采取金额认购，投资者单笔认购起点金额及追加金额如下</w:t>
      </w:r>
      <w:r>
        <w:rPr>
          <w:rFonts w:hint="eastAsia" w:ascii="楷体" w:hAnsi="楷体" w:eastAsia="楷体"/>
          <w:sz w:val="24"/>
          <w:szCs w:val="24"/>
        </w:rPr>
        <w:t>（以各销售机构设置为准）</w:t>
      </w:r>
      <w:r>
        <w:rPr>
          <w:rFonts w:hint="eastAsia" w:ascii="楷体" w:hAnsi="楷体" w:eastAsia="楷体" w:cs="Calibri"/>
          <w:sz w:val="24"/>
          <w:szCs w:val="24"/>
        </w:rPr>
        <w:t>：</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9"/>
        <w:gridCol w:w="2866"/>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pct"/>
            <w:vAlign w:val="center"/>
          </w:tcPr>
          <w:p>
            <w:pPr>
              <w:tabs>
                <w:tab w:val="left" w:pos="993"/>
              </w:tabs>
              <w:jc w:val="center"/>
              <w:rPr>
                <w:rFonts w:hint="eastAsia" w:ascii="楷体" w:hAnsi="楷体" w:eastAsia="楷体" w:cs="Calibri"/>
                <w:b/>
                <w:bCs/>
                <w:szCs w:val="21"/>
              </w:rPr>
            </w:pPr>
            <w:r>
              <w:rPr>
                <w:rFonts w:hint="eastAsia" w:ascii="楷体" w:hAnsi="楷体" w:eastAsia="楷体" w:cs="Calibri"/>
                <w:b/>
                <w:bCs/>
                <w:szCs w:val="21"/>
              </w:rPr>
              <w:t>份额</w:t>
            </w:r>
          </w:p>
        </w:tc>
        <w:tc>
          <w:tcPr>
            <w:tcW w:w="1682" w:type="pct"/>
            <w:vAlign w:val="center"/>
          </w:tcPr>
          <w:p>
            <w:pPr>
              <w:tabs>
                <w:tab w:val="left" w:pos="993"/>
              </w:tabs>
              <w:jc w:val="center"/>
              <w:rPr>
                <w:rFonts w:hint="eastAsia" w:ascii="楷体" w:hAnsi="楷体" w:eastAsia="楷体" w:cs="Calibri"/>
                <w:b/>
                <w:bCs/>
                <w:szCs w:val="21"/>
              </w:rPr>
            </w:pPr>
            <w:r>
              <w:rPr>
                <w:rFonts w:hint="eastAsia" w:ascii="楷体" w:hAnsi="楷体" w:eastAsia="楷体" w:cs="Calibri"/>
                <w:b/>
                <w:bCs/>
                <w:szCs w:val="21"/>
              </w:rPr>
              <w:t>首次认/申购起点金额</w:t>
            </w:r>
          </w:p>
        </w:tc>
        <w:tc>
          <w:tcPr>
            <w:tcW w:w="1616" w:type="pct"/>
            <w:vAlign w:val="center"/>
          </w:tcPr>
          <w:p>
            <w:pPr>
              <w:tabs>
                <w:tab w:val="left" w:pos="993"/>
              </w:tabs>
              <w:jc w:val="center"/>
              <w:rPr>
                <w:rFonts w:hint="eastAsia" w:ascii="楷体" w:hAnsi="楷体" w:eastAsia="楷体" w:cs="Calibri"/>
                <w:b/>
                <w:bCs/>
                <w:szCs w:val="21"/>
              </w:rPr>
            </w:pPr>
            <w:r>
              <w:rPr>
                <w:rFonts w:hint="eastAsia" w:ascii="楷体" w:hAnsi="楷体" w:eastAsia="楷体" w:cs="Calibri"/>
                <w:b/>
                <w:bCs/>
                <w:szCs w:val="21"/>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pct"/>
            <w:vAlign w:val="center"/>
          </w:tcPr>
          <w:p>
            <w:pPr>
              <w:tabs>
                <w:tab w:val="left" w:pos="993"/>
              </w:tabs>
              <w:jc w:val="center"/>
              <w:rPr>
                <w:rFonts w:hint="eastAsia" w:ascii="楷体" w:hAnsi="楷体" w:eastAsia="楷体" w:cs="Calibri"/>
                <w:szCs w:val="21"/>
              </w:rPr>
            </w:pPr>
            <w:r>
              <w:rPr>
                <w:rFonts w:hint="eastAsia" w:ascii="楷体" w:hAnsi="楷体" w:eastAsia="楷体" w:cs="宋体"/>
                <w:spacing w:val="-2"/>
                <w:szCs w:val="21"/>
              </w:rPr>
              <w:t>A</w:t>
            </w:r>
            <w:r>
              <w:rPr>
                <w:rFonts w:hint="eastAsia" w:ascii="楷体" w:hAnsi="楷体" w:eastAsia="楷体" w:cs="Calibri"/>
                <w:szCs w:val="21"/>
              </w:rPr>
              <w:t>份额</w:t>
            </w:r>
          </w:p>
        </w:tc>
        <w:tc>
          <w:tcPr>
            <w:tcW w:w="1682" w:type="pct"/>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p>
        </w:tc>
        <w:tc>
          <w:tcPr>
            <w:tcW w:w="1616" w:type="pct"/>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pct"/>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F</w:t>
            </w:r>
            <w:r>
              <w:rPr>
                <w:rFonts w:hint="eastAsia" w:ascii="楷体" w:hAnsi="楷体" w:eastAsia="楷体" w:cs="Calibri"/>
                <w:szCs w:val="21"/>
              </w:rPr>
              <w:t>份额</w:t>
            </w:r>
          </w:p>
        </w:tc>
        <w:tc>
          <w:tcPr>
            <w:tcW w:w="2866" w:type="dxa"/>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p>
        </w:tc>
        <w:tc>
          <w:tcPr>
            <w:tcW w:w="2754" w:type="dxa"/>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pct"/>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G</w:t>
            </w:r>
            <w:r>
              <w:rPr>
                <w:rFonts w:hint="eastAsia" w:ascii="楷体" w:hAnsi="楷体" w:eastAsia="楷体" w:cs="Calibri"/>
                <w:szCs w:val="21"/>
              </w:rPr>
              <w:t>份额</w:t>
            </w:r>
          </w:p>
        </w:tc>
        <w:tc>
          <w:tcPr>
            <w:tcW w:w="2866" w:type="dxa"/>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p>
        </w:tc>
        <w:tc>
          <w:tcPr>
            <w:tcW w:w="2754" w:type="dxa"/>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r>
              <w:rPr>
                <w:rFonts w:hint="eastAsia" w:ascii="楷体" w:hAnsi="楷体" w:eastAsia="楷体" w:cs="宋体"/>
                <w:spacing w:val="-2"/>
                <w:szCs w:val="21"/>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pct"/>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H</w:t>
            </w:r>
            <w:r>
              <w:rPr>
                <w:rFonts w:hint="eastAsia" w:ascii="楷体" w:hAnsi="楷体" w:eastAsia="楷体" w:cs="Calibri"/>
                <w:szCs w:val="21"/>
              </w:rPr>
              <w:t>份额</w:t>
            </w:r>
          </w:p>
        </w:tc>
        <w:tc>
          <w:tcPr>
            <w:tcW w:w="2866" w:type="dxa"/>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p>
        </w:tc>
        <w:tc>
          <w:tcPr>
            <w:tcW w:w="2754" w:type="dxa"/>
            <w:vAlign w:val="center"/>
          </w:tcPr>
          <w:p>
            <w:pPr>
              <w:tabs>
                <w:tab w:val="left" w:pos="993"/>
              </w:tabs>
              <w:jc w:val="center"/>
              <w:rPr>
                <w:rFonts w:hint="eastAsia" w:ascii="楷体" w:hAnsi="楷体" w:eastAsia="楷体" w:cs="Calibri"/>
                <w:szCs w:val="21"/>
              </w:rPr>
            </w:pPr>
            <w:r>
              <w:rPr>
                <w:rFonts w:hint="eastAsia" w:ascii="楷体" w:hAnsi="楷体" w:eastAsia="楷体" w:cs="Calibri"/>
                <w:szCs w:val="21"/>
              </w:rPr>
              <w:t>1元</w:t>
            </w:r>
            <w:r>
              <w:rPr>
                <w:rFonts w:hint="eastAsia" w:ascii="楷体" w:hAnsi="楷体" w:eastAsia="楷体" w:cs="宋体"/>
                <w:spacing w:val="-2"/>
                <w:szCs w:val="21"/>
              </w:rPr>
              <w:t>的整数倍</w:t>
            </w:r>
          </w:p>
        </w:tc>
      </w:tr>
    </w:tbl>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单一投资者单个工作日认/申购上限如下：</w:t>
      </w:r>
    </w:p>
    <w:tbl>
      <w:tblPr>
        <w:tblStyle w:val="1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5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pct"/>
            <w:vAlign w:val="center"/>
          </w:tcPr>
          <w:p>
            <w:pPr>
              <w:tabs>
                <w:tab w:val="left" w:pos="993"/>
              </w:tabs>
              <w:jc w:val="center"/>
              <w:rPr>
                <w:rFonts w:hint="eastAsia" w:ascii="楷体" w:hAnsi="楷体" w:eastAsia="楷体" w:cs="Calibri"/>
                <w:b/>
                <w:bCs/>
                <w:szCs w:val="21"/>
              </w:rPr>
            </w:pPr>
            <w:r>
              <w:rPr>
                <w:rFonts w:hint="eastAsia" w:ascii="楷体" w:hAnsi="楷体" w:eastAsia="楷体" w:cs="Calibri"/>
                <w:b/>
                <w:bCs/>
                <w:szCs w:val="21"/>
              </w:rPr>
              <w:t>份额</w:t>
            </w:r>
          </w:p>
        </w:tc>
        <w:tc>
          <w:tcPr>
            <w:tcW w:w="3299" w:type="pct"/>
            <w:vAlign w:val="center"/>
          </w:tcPr>
          <w:p>
            <w:pPr>
              <w:jc w:val="center"/>
              <w:rPr>
                <w:rFonts w:hint="eastAsia" w:ascii="楷体" w:hAnsi="楷体" w:eastAsia="楷体" w:cs="Calibri"/>
                <w:b/>
                <w:bCs/>
                <w:szCs w:val="21"/>
              </w:rPr>
            </w:pPr>
            <w:r>
              <w:rPr>
                <w:rFonts w:hint="eastAsia" w:ascii="楷体" w:hAnsi="楷体" w:eastAsia="楷体" w:cs="Calibri"/>
                <w:b/>
                <w:bCs/>
                <w:szCs w:val="21"/>
              </w:rPr>
              <w:t>单一投资者单个工作日认/申购上限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pct"/>
            <w:vAlign w:val="center"/>
          </w:tcPr>
          <w:p>
            <w:pPr>
              <w:tabs>
                <w:tab w:val="left" w:pos="993"/>
              </w:tabs>
              <w:jc w:val="center"/>
              <w:rPr>
                <w:rFonts w:hint="eastAsia" w:ascii="楷体" w:hAnsi="楷体" w:eastAsia="楷体" w:cs="Calibri"/>
                <w:szCs w:val="21"/>
              </w:rPr>
            </w:pPr>
            <w:r>
              <w:rPr>
                <w:rFonts w:hint="eastAsia" w:ascii="楷体" w:hAnsi="楷体" w:eastAsia="楷体" w:cs="宋体"/>
                <w:spacing w:val="-2"/>
                <w:szCs w:val="21"/>
              </w:rPr>
              <w:t>A</w:t>
            </w:r>
            <w:r>
              <w:rPr>
                <w:rFonts w:hint="eastAsia" w:ascii="楷体" w:hAnsi="楷体" w:eastAsia="楷体" w:cs="Calibri"/>
                <w:szCs w:val="21"/>
              </w:rPr>
              <w:t>份额</w:t>
            </w:r>
          </w:p>
        </w:tc>
        <w:tc>
          <w:tcPr>
            <w:tcW w:w="3299" w:type="pct"/>
            <w:vAlign w:val="center"/>
          </w:tcPr>
          <w:p>
            <w:pPr>
              <w:jc w:val="center"/>
              <w:rPr>
                <w:rFonts w:hint="eastAsia" w:ascii="楷体" w:hAnsi="楷体" w:eastAsia="楷体" w:cs="Calibri"/>
                <w:szCs w:val="21"/>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pct"/>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F</w:t>
            </w:r>
            <w:r>
              <w:rPr>
                <w:rFonts w:hint="eastAsia" w:ascii="楷体" w:hAnsi="楷体" w:eastAsia="楷体" w:cs="Calibri"/>
                <w:szCs w:val="21"/>
              </w:rPr>
              <w:t>份额</w:t>
            </w:r>
          </w:p>
        </w:tc>
        <w:tc>
          <w:tcPr>
            <w:tcW w:w="3299" w:type="pct"/>
            <w:vAlign w:val="center"/>
          </w:tcPr>
          <w:p>
            <w:pPr>
              <w:jc w:val="center"/>
              <w:rPr>
                <w:rFonts w:hint="eastAsia" w:ascii="楷体" w:hAnsi="楷体" w:eastAsia="楷体" w:cs="Calibri"/>
                <w:szCs w:val="21"/>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pct"/>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G</w:t>
            </w:r>
            <w:r>
              <w:rPr>
                <w:rFonts w:hint="eastAsia" w:ascii="楷体" w:hAnsi="楷体" w:eastAsia="楷体" w:cs="Calibri"/>
                <w:szCs w:val="21"/>
              </w:rPr>
              <w:t>份额</w:t>
            </w:r>
          </w:p>
        </w:tc>
        <w:tc>
          <w:tcPr>
            <w:tcW w:w="3299" w:type="pct"/>
            <w:vAlign w:val="center"/>
          </w:tcPr>
          <w:p>
            <w:pPr>
              <w:jc w:val="center"/>
              <w:rPr>
                <w:rFonts w:hint="eastAsia" w:ascii="楷体" w:hAnsi="楷体" w:eastAsia="楷体" w:cs="Calibri"/>
                <w:szCs w:val="21"/>
              </w:rPr>
            </w:pPr>
            <w:r>
              <w:rPr>
                <w:rFonts w:hint="eastAsia" w:ascii="楷体" w:hAnsi="楷体" w:eastAsia="楷体" w:cs="Calibri"/>
                <w:szCs w:val="21"/>
              </w:rPr>
              <w:t>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pct"/>
            <w:vAlign w:val="center"/>
          </w:tcPr>
          <w:p>
            <w:pPr>
              <w:tabs>
                <w:tab w:val="left" w:pos="993"/>
              </w:tabs>
              <w:jc w:val="center"/>
              <w:rPr>
                <w:rFonts w:hint="eastAsia" w:ascii="楷体" w:hAnsi="楷体" w:eastAsia="楷体" w:cs="宋体"/>
                <w:spacing w:val="-2"/>
                <w:szCs w:val="21"/>
              </w:rPr>
            </w:pPr>
            <w:r>
              <w:rPr>
                <w:rFonts w:hint="eastAsia" w:ascii="楷体" w:hAnsi="楷体" w:eastAsia="楷体" w:cs="宋体"/>
                <w:spacing w:val="-2"/>
                <w:szCs w:val="21"/>
              </w:rPr>
              <w:t>H</w:t>
            </w:r>
            <w:r>
              <w:rPr>
                <w:rFonts w:hint="eastAsia" w:ascii="楷体" w:hAnsi="楷体" w:eastAsia="楷体" w:cs="Calibri"/>
                <w:szCs w:val="21"/>
              </w:rPr>
              <w:t>份额</w:t>
            </w:r>
          </w:p>
        </w:tc>
        <w:tc>
          <w:tcPr>
            <w:tcW w:w="3299" w:type="pct"/>
            <w:vAlign w:val="center"/>
          </w:tcPr>
          <w:p>
            <w:pPr>
              <w:jc w:val="center"/>
              <w:rPr>
                <w:rFonts w:hint="eastAsia" w:ascii="楷体" w:hAnsi="楷体" w:eastAsia="楷体" w:cs="Calibri"/>
                <w:szCs w:val="21"/>
              </w:rPr>
            </w:pPr>
            <w:r>
              <w:rPr>
                <w:rFonts w:hint="eastAsia" w:ascii="楷体" w:hAnsi="楷体" w:eastAsia="楷体" w:cs="Calibri"/>
                <w:szCs w:val="21"/>
              </w:rPr>
              <w:t>1亿</w:t>
            </w:r>
          </w:p>
        </w:tc>
      </w:tr>
    </w:tbl>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认购资金的清算</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投资者提出认购申请时，须备足购买资金。如投资者通过代销渠道购买，管理人在份额确认日通知销售机构扣划投资者认购资金，投资者应在扣款前保证资金账户中拥有足够可用余额；如投资者通过苏银理财直营渠道购买，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认购份额登记日：本理财产品于2025年7月10日进行份额登记。</w:t>
      </w:r>
    </w:p>
    <w:p>
      <w:pPr>
        <w:numPr>
          <w:ilvl w:val="0"/>
          <w:numId w:val="20"/>
        </w:numPr>
        <w:tabs>
          <w:tab w:val="left" w:pos="993"/>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产品申购、赎回</w:t>
      </w:r>
    </w:p>
    <w:p>
      <w:pPr>
        <w:numPr>
          <w:ilvl w:val="0"/>
          <w:numId w:val="21"/>
        </w:numPr>
        <w:tabs>
          <w:tab w:val="left" w:pos="993"/>
        </w:tabs>
        <w:ind w:left="0" w:firstLine="482" w:firstLineChars="200"/>
        <w:outlineLvl w:val="1"/>
        <w:rPr>
          <w:rFonts w:hint="eastAsia" w:ascii="楷体" w:hAnsi="楷体" w:eastAsia="楷体" w:cs="Calibri"/>
          <w:b/>
          <w:bCs/>
          <w:sz w:val="24"/>
          <w:szCs w:val="24"/>
        </w:rPr>
      </w:pPr>
      <w:r>
        <w:rPr>
          <w:rFonts w:hint="eastAsia" w:ascii="楷体" w:hAnsi="楷体" w:eastAsia="楷体" w:cs="Calibri"/>
          <w:b/>
          <w:bCs/>
          <w:sz w:val="24"/>
          <w:szCs w:val="24"/>
        </w:rPr>
        <w:t>申购</w:t>
      </w:r>
      <w:r>
        <w:rPr>
          <w:rFonts w:ascii="楷体" w:hAnsi="楷体" w:eastAsia="楷体" w:cs="Calibri"/>
          <w:b/>
          <w:bCs/>
          <w:sz w:val="24"/>
          <w:szCs w:val="24"/>
        </w:rPr>
        <w:t>及申购资金的清算</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申购期：本产品投资封闭期结束后的每日00:00至24:00为申购期，投资者可在申购期提交申购申请。工作日17：00前申购T+1确认，17：00后的申购为预受理，视同下一工作日申购。（具体以销售机构设置为准）</w:t>
      </w:r>
    </w:p>
    <w:p>
      <w:pPr>
        <w:numPr>
          <w:ilvl w:val="0"/>
          <w:numId w:val="2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申购原则</w:t>
      </w:r>
    </w:p>
    <w:p>
      <w:pPr>
        <w:numPr>
          <w:ilvl w:val="0"/>
          <w:numId w:val="23"/>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“未知价”原则：投资者申购本理财产品时，采用“未知价”原则，以投资者申购受理日当日产品单位净值为准计算申购份额。</w:t>
      </w:r>
    </w:p>
    <w:p>
      <w:pPr>
        <w:numPr>
          <w:ilvl w:val="0"/>
          <w:numId w:val="23"/>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“金额申购”原则：本理财产品申购以金额申请,申购份额=申购金额/产品单位净值。</w:t>
      </w:r>
    </w:p>
    <w:p>
      <w:pPr>
        <w:numPr>
          <w:ilvl w:val="0"/>
          <w:numId w:val="22"/>
        </w:numPr>
        <w:tabs>
          <w:tab w:val="left" w:pos="728"/>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申购确认规则：</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9"/>
        <w:gridCol w:w="3490"/>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pct"/>
            <w:vAlign w:val="center"/>
          </w:tcPr>
          <w:p>
            <w:pPr>
              <w:tabs>
                <w:tab w:val="left" w:pos="728"/>
                <w:tab w:val="left" w:pos="1092"/>
              </w:tabs>
              <w:jc w:val="center"/>
              <w:rPr>
                <w:rFonts w:hint="eastAsia" w:ascii="楷体" w:hAnsi="楷体" w:eastAsia="楷体" w:cs="Calibri"/>
                <w:b/>
                <w:bCs/>
                <w:szCs w:val="21"/>
              </w:rPr>
            </w:pPr>
            <w:r>
              <w:rPr>
                <w:rFonts w:hint="eastAsia" w:ascii="楷体" w:hAnsi="楷体" w:eastAsia="楷体" w:cs="Calibri"/>
                <w:b/>
                <w:bCs/>
                <w:szCs w:val="21"/>
              </w:rPr>
              <w:t>申购申请时间</w:t>
            </w:r>
          </w:p>
        </w:tc>
        <w:tc>
          <w:tcPr>
            <w:tcW w:w="2047" w:type="pct"/>
            <w:vAlign w:val="center"/>
          </w:tcPr>
          <w:p>
            <w:pPr>
              <w:tabs>
                <w:tab w:val="left" w:pos="728"/>
                <w:tab w:val="left" w:pos="1092"/>
              </w:tabs>
              <w:jc w:val="center"/>
              <w:rPr>
                <w:rFonts w:hint="eastAsia" w:ascii="楷体" w:hAnsi="楷体" w:eastAsia="楷体" w:cs="Calibri"/>
                <w:b/>
                <w:bCs/>
                <w:szCs w:val="21"/>
              </w:rPr>
            </w:pPr>
            <w:r>
              <w:rPr>
                <w:rFonts w:hint="eastAsia" w:ascii="楷体" w:hAnsi="楷体" w:eastAsia="楷体" w:cs="Calibri"/>
                <w:b/>
                <w:bCs/>
                <w:szCs w:val="21"/>
              </w:rPr>
              <w:t>受理时间及方式</w:t>
            </w:r>
          </w:p>
        </w:tc>
        <w:tc>
          <w:tcPr>
            <w:tcW w:w="1462" w:type="pct"/>
            <w:vAlign w:val="center"/>
          </w:tcPr>
          <w:p>
            <w:pPr>
              <w:tabs>
                <w:tab w:val="left" w:pos="728"/>
                <w:tab w:val="left" w:pos="1092"/>
              </w:tabs>
              <w:jc w:val="center"/>
              <w:rPr>
                <w:rFonts w:hint="eastAsia" w:ascii="楷体" w:hAnsi="楷体" w:eastAsia="楷体" w:cs="Calibri"/>
                <w:b/>
                <w:bCs/>
                <w:szCs w:val="21"/>
              </w:rPr>
            </w:pPr>
            <w:r>
              <w:rPr>
                <w:rFonts w:hint="eastAsia" w:ascii="楷体" w:hAnsi="楷体" w:eastAsia="楷体" w:cs="Calibri"/>
                <w:b/>
                <w:bCs/>
                <w:szCs w:val="21"/>
              </w:rPr>
              <w:t>申购确认/扣款时间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pct"/>
            <w:vAlign w:val="center"/>
          </w:tcPr>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w:t>
            </w:r>
            <w:r>
              <w:rPr>
                <w:rFonts w:ascii="楷体" w:hAnsi="楷体" w:eastAsia="楷体" w:cs="Calibri"/>
                <w:szCs w:val="21"/>
              </w:rPr>
              <w:t>0</w:t>
            </w:r>
            <w:r>
              <w:rPr>
                <w:rFonts w:hint="eastAsia" w:ascii="楷体" w:hAnsi="楷体" w:eastAsia="楷体" w:cs="Calibri"/>
                <w:szCs w:val="21"/>
              </w:rPr>
              <w:t>:</w:t>
            </w:r>
            <w:r>
              <w:rPr>
                <w:rFonts w:ascii="楷体" w:hAnsi="楷体" w:eastAsia="楷体" w:cs="Calibri"/>
                <w:szCs w:val="21"/>
              </w:rPr>
              <w:t>00-</w:t>
            </w:r>
            <w:r>
              <w:rPr>
                <w:rFonts w:hint="eastAsia" w:ascii="楷体" w:hAnsi="楷体" w:eastAsia="楷体" w:cs="Calibri"/>
                <w:szCs w:val="21"/>
              </w:rPr>
              <w:t>17</w:t>
            </w:r>
            <w:r>
              <w:rPr>
                <w:rFonts w:ascii="楷体" w:hAnsi="楷体" w:eastAsia="楷体" w:cs="Calibri"/>
                <w:szCs w:val="21"/>
              </w:rPr>
              <w:t>:</w:t>
            </w:r>
            <w:r>
              <w:rPr>
                <w:rFonts w:hint="eastAsia" w:ascii="楷体" w:hAnsi="楷体" w:eastAsia="楷体" w:cs="Calibri"/>
                <w:szCs w:val="21"/>
              </w:rPr>
              <w:t>0</w:t>
            </w:r>
            <w:r>
              <w:rPr>
                <w:rFonts w:ascii="楷体" w:hAnsi="楷体" w:eastAsia="楷体" w:cs="Calibri"/>
                <w:szCs w:val="21"/>
              </w:rPr>
              <w:t>0</w:t>
            </w:r>
          </w:p>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（T日为交易所工作日）</w:t>
            </w:r>
          </w:p>
        </w:tc>
        <w:tc>
          <w:tcPr>
            <w:tcW w:w="2047" w:type="pct"/>
            <w:vAlign w:val="center"/>
          </w:tcPr>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T日系统实时受理并冻结资金</w:t>
            </w:r>
          </w:p>
        </w:tc>
        <w:tc>
          <w:tcPr>
            <w:tcW w:w="1462" w:type="pct"/>
            <w:vAlign w:val="center"/>
          </w:tcPr>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T日后第一个工作日系统日启后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9" w:type="pct"/>
            <w:vAlign w:val="center"/>
          </w:tcPr>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T日17</w:t>
            </w:r>
            <w:r>
              <w:rPr>
                <w:rFonts w:ascii="楷体" w:hAnsi="楷体" w:eastAsia="楷体" w:cs="Calibri"/>
                <w:szCs w:val="21"/>
              </w:rPr>
              <w:t>:</w:t>
            </w:r>
            <w:r>
              <w:rPr>
                <w:rFonts w:hint="eastAsia" w:ascii="楷体" w:hAnsi="楷体" w:eastAsia="楷体" w:cs="Calibri"/>
                <w:szCs w:val="21"/>
              </w:rPr>
              <w:t>0</w:t>
            </w:r>
            <w:r>
              <w:rPr>
                <w:rFonts w:ascii="楷体" w:hAnsi="楷体" w:eastAsia="楷体" w:cs="Calibri"/>
                <w:szCs w:val="21"/>
              </w:rPr>
              <w:t>0–</w:t>
            </w:r>
            <w:r>
              <w:rPr>
                <w:rFonts w:hint="eastAsia" w:ascii="楷体" w:hAnsi="楷体" w:eastAsia="楷体" w:cs="Calibri"/>
                <w:szCs w:val="21"/>
              </w:rPr>
              <w:t>T日</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（T日为交易所工作日）</w:t>
            </w:r>
          </w:p>
        </w:tc>
        <w:tc>
          <w:tcPr>
            <w:tcW w:w="2047" w:type="pct"/>
            <w:vAlign w:val="center"/>
          </w:tcPr>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T日系统实时冻结资金并于T日后第一个工作日系统日启后转为受理</w:t>
            </w:r>
          </w:p>
        </w:tc>
        <w:tc>
          <w:tcPr>
            <w:tcW w:w="1462" w:type="pct"/>
            <w:vAlign w:val="center"/>
          </w:tcPr>
          <w:p>
            <w:pPr>
              <w:tabs>
                <w:tab w:val="left" w:pos="728"/>
                <w:tab w:val="left" w:pos="1092"/>
              </w:tabs>
              <w:spacing w:line="0" w:lineRule="atLeast"/>
              <w:jc w:val="center"/>
              <w:rPr>
                <w:rFonts w:hint="eastAsia" w:ascii="楷体" w:hAnsi="楷体" w:eastAsia="楷体" w:cs="Calibri"/>
                <w:szCs w:val="21"/>
              </w:rPr>
            </w:pPr>
            <w:r>
              <w:rPr>
                <w:rFonts w:hint="eastAsia" w:ascii="楷体" w:hAnsi="楷体" w:eastAsia="楷体" w:cs="Calibri"/>
                <w:szCs w:val="21"/>
              </w:rPr>
              <w:t>T日后第二个工作日系统日启后</w:t>
            </w:r>
          </w:p>
        </w:tc>
      </w:tr>
    </w:tbl>
    <w:p>
      <w:pPr>
        <w:tabs>
          <w:tab w:val="left" w:pos="728"/>
          <w:tab w:val="left" w:pos="1092"/>
        </w:tabs>
        <w:ind w:firstLine="480" w:firstLineChars="200"/>
        <w:rPr>
          <w:rFonts w:hint="eastAsia" w:ascii="楷体" w:hAnsi="楷体" w:eastAsia="楷体" w:cs="Calibri"/>
          <w:sz w:val="24"/>
          <w:szCs w:val="24"/>
        </w:rPr>
      </w:pPr>
      <w:r>
        <w:rPr>
          <w:rFonts w:ascii="楷体" w:hAnsi="楷体" w:eastAsia="楷体" w:cs="Calibri"/>
          <w:sz w:val="24"/>
          <w:szCs w:val="24"/>
        </w:rPr>
        <w:t>假设周一至周五为</w:t>
      </w:r>
      <w:r>
        <w:rPr>
          <w:rFonts w:hint="eastAsia" w:ascii="楷体" w:hAnsi="楷体" w:eastAsia="楷体" w:cs="Calibri"/>
          <w:sz w:val="24"/>
          <w:szCs w:val="24"/>
        </w:rPr>
        <w:t>交易所工作日，周六周日为非交易所工作日：</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b/>
                <w:szCs w:val="21"/>
              </w:rPr>
            </w:pPr>
            <w:r>
              <w:rPr>
                <w:rFonts w:hint="eastAsia" w:ascii="楷体" w:hAnsi="楷体" w:eastAsia="楷体" w:cs="Calibri"/>
                <w:b/>
                <w:szCs w:val="21"/>
              </w:rPr>
              <w:t>申购日及时间</w:t>
            </w:r>
          </w:p>
        </w:tc>
        <w:tc>
          <w:tcPr>
            <w:tcW w:w="1249" w:type="pct"/>
          </w:tcPr>
          <w:p>
            <w:pPr>
              <w:tabs>
                <w:tab w:val="left" w:pos="728"/>
                <w:tab w:val="left" w:pos="1092"/>
              </w:tabs>
              <w:jc w:val="center"/>
              <w:rPr>
                <w:rFonts w:hint="eastAsia" w:ascii="楷体" w:hAnsi="楷体" w:eastAsia="楷体" w:cs="Calibri"/>
                <w:b/>
                <w:szCs w:val="21"/>
              </w:rPr>
            </w:pPr>
            <w:r>
              <w:rPr>
                <w:rFonts w:hint="eastAsia" w:ascii="楷体" w:hAnsi="楷体" w:eastAsia="楷体" w:cs="Calibri"/>
                <w:b/>
                <w:szCs w:val="21"/>
              </w:rPr>
              <w:t>申购确认日</w:t>
            </w:r>
          </w:p>
        </w:tc>
        <w:tc>
          <w:tcPr>
            <w:tcW w:w="1250" w:type="pct"/>
          </w:tcPr>
          <w:p>
            <w:pPr>
              <w:tabs>
                <w:tab w:val="left" w:pos="728"/>
                <w:tab w:val="left" w:pos="1092"/>
              </w:tabs>
              <w:jc w:val="center"/>
              <w:rPr>
                <w:rFonts w:hint="eastAsia" w:ascii="楷体" w:hAnsi="楷体" w:eastAsia="楷体" w:cs="Calibri"/>
                <w:b/>
                <w:szCs w:val="21"/>
              </w:rPr>
            </w:pPr>
            <w:r>
              <w:rPr>
                <w:rFonts w:hint="eastAsia" w:ascii="楷体" w:hAnsi="楷体" w:eastAsia="楷体" w:cs="Calibri"/>
                <w:b/>
                <w:szCs w:val="21"/>
              </w:rPr>
              <w:t>申购日及时间</w:t>
            </w:r>
          </w:p>
        </w:tc>
        <w:tc>
          <w:tcPr>
            <w:tcW w:w="1250" w:type="pct"/>
          </w:tcPr>
          <w:p>
            <w:pPr>
              <w:tabs>
                <w:tab w:val="left" w:pos="728"/>
                <w:tab w:val="left" w:pos="1092"/>
              </w:tabs>
              <w:jc w:val="center"/>
              <w:rPr>
                <w:rFonts w:hint="eastAsia" w:ascii="楷体" w:hAnsi="楷体" w:eastAsia="楷体" w:cs="Calibri"/>
                <w:b/>
                <w:szCs w:val="21"/>
              </w:rPr>
            </w:pPr>
            <w:r>
              <w:rPr>
                <w:rFonts w:hint="eastAsia" w:ascii="楷体" w:hAnsi="楷体" w:eastAsia="楷体" w:cs="Calibri"/>
                <w:b/>
                <w:szCs w:val="21"/>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周一0:0</w:t>
            </w:r>
            <w:r>
              <w:rPr>
                <w:rFonts w:ascii="楷体" w:hAnsi="楷体" w:eastAsia="楷体" w:cs="Calibri"/>
                <w:szCs w:val="21"/>
              </w:rPr>
              <w:t>0</w:t>
            </w:r>
            <w:r>
              <w:rPr>
                <w:rFonts w:hint="eastAsia" w:ascii="楷体" w:hAnsi="楷体" w:eastAsia="楷体" w:cs="Calibri"/>
                <w:szCs w:val="21"/>
              </w:rPr>
              <w:t>-17:00</w:t>
            </w:r>
          </w:p>
        </w:tc>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周二</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周一17:00-</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周二0:0</w:t>
            </w:r>
            <w:r>
              <w:rPr>
                <w:rFonts w:ascii="楷体" w:hAnsi="楷体" w:eastAsia="楷体" w:cs="Calibri"/>
                <w:szCs w:val="21"/>
              </w:rPr>
              <w:t>0</w:t>
            </w:r>
            <w:r>
              <w:rPr>
                <w:rFonts w:hint="eastAsia" w:ascii="楷体" w:hAnsi="楷体" w:eastAsia="楷体" w:cs="Calibri"/>
                <w:szCs w:val="21"/>
              </w:rPr>
              <w:t>-17:00</w:t>
            </w:r>
          </w:p>
        </w:tc>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周二17:00-</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周三0:0</w:t>
            </w:r>
            <w:r>
              <w:rPr>
                <w:rFonts w:ascii="楷体" w:hAnsi="楷体" w:eastAsia="楷体" w:cs="Calibri"/>
                <w:szCs w:val="21"/>
              </w:rPr>
              <w:t>0</w:t>
            </w:r>
            <w:r>
              <w:rPr>
                <w:rFonts w:hint="eastAsia" w:ascii="楷体" w:hAnsi="楷体" w:eastAsia="楷体" w:cs="Calibri"/>
                <w:szCs w:val="21"/>
              </w:rPr>
              <w:t>-17:00</w:t>
            </w:r>
          </w:p>
        </w:tc>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周三17:00-</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周四0:0</w:t>
            </w:r>
            <w:r>
              <w:rPr>
                <w:rFonts w:ascii="楷体" w:hAnsi="楷体" w:eastAsia="楷体" w:cs="Calibri"/>
                <w:szCs w:val="21"/>
              </w:rPr>
              <w:t>0</w:t>
            </w:r>
            <w:r>
              <w:rPr>
                <w:rFonts w:hint="eastAsia" w:ascii="楷体" w:hAnsi="楷体" w:eastAsia="楷体" w:cs="Calibri"/>
                <w:szCs w:val="21"/>
              </w:rPr>
              <w:t>-17:00</w:t>
            </w:r>
          </w:p>
        </w:tc>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周四17:00-</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周五0:0</w:t>
            </w:r>
            <w:r>
              <w:rPr>
                <w:rFonts w:ascii="楷体" w:hAnsi="楷体" w:eastAsia="楷体" w:cs="Calibri"/>
                <w:szCs w:val="21"/>
              </w:rPr>
              <w:t>0</w:t>
            </w:r>
            <w:r>
              <w:rPr>
                <w:rFonts w:hint="eastAsia" w:ascii="楷体" w:hAnsi="楷体" w:eastAsia="楷体" w:cs="Calibri"/>
                <w:szCs w:val="21"/>
              </w:rPr>
              <w:t>-17:00</w:t>
            </w:r>
          </w:p>
        </w:tc>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下周一</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周五17:00-</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周六0:0</w:t>
            </w:r>
            <w:r>
              <w:rPr>
                <w:rFonts w:ascii="楷体" w:hAnsi="楷体" w:eastAsia="楷体" w:cs="Calibri"/>
                <w:szCs w:val="21"/>
              </w:rPr>
              <w:t>0</w:t>
            </w:r>
            <w:r>
              <w:rPr>
                <w:rFonts w:hint="eastAsia" w:ascii="楷体" w:hAnsi="楷体" w:eastAsia="楷体" w:cs="Calibri"/>
                <w:szCs w:val="21"/>
              </w:rPr>
              <w:t>-</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49"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下周二</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 xml:space="preserve">周日 </w:t>
            </w:r>
            <w:r>
              <w:rPr>
                <w:rFonts w:ascii="楷体" w:hAnsi="楷体" w:eastAsia="楷体" w:cs="Calibri"/>
                <w:szCs w:val="21"/>
              </w:rPr>
              <w:t>0</w:t>
            </w:r>
            <w:r>
              <w:rPr>
                <w:rFonts w:hint="eastAsia" w:ascii="楷体" w:hAnsi="楷体" w:eastAsia="楷体" w:cs="Calibri"/>
                <w:szCs w:val="21"/>
              </w:rPr>
              <w:t>:</w:t>
            </w:r>
            <w:r>
              <w:rPr>
                <w:rFonts w:ascii="楷体" w:hAnsi="楷体" w:eastAsia="楷体" w:cs="Calibri"/>
                <w:szCs w:val="21"/>
              </w:rPr>
              <w:t>00</w:t>
            </w:r>
            <w:r>
              <w:rPr>
                <w:rFonts w:hint="eastAsia" w:ascii="楷体" w:hAnsi="楷体" w:eastAsia="楷体" w:cs="Calibri"/>
                <w:szCs w:val="21"/>
              </w:rPr>
              <w:t>-</w:t>
            </w:r>
            <w:r>
              <w:rPr>
                <w:rFonts w:ascii="楷体" w:hAnsi="楷体" w:eastAsia="楷体" w:cs="Calibri"/>
                <w:szCs w:val="21"/>
              </w:rPr>
              <w:t>24</w:t>
            </w:r>
            <w:r>
              <w:rPr>
                <w:rFonts w:hint="eastAsia" w:ascii="楷体" w:hAnsi="楷体" w:eastAsia="楷体" w:cs="Calibri"/>
                <w:szCs w:val="21"/>
              </w:rPr>
              <w:t>:</w:t>
            </w:r>
            <w:r>
              <w:rPr>
                <w:rFonts w:ascii="楷体" w:hAnsi="楷体" w:eastAsia="楷体" w:cs="Calibri"/>
                <w:szCs w:val="21"/>
              </w:rPr>
              <w:t>00</w:t>
            </w:r>
          </w:p>
        </w:tc>
        <w:tc>
          <w:tcPr>
            <w:tcW w:w="1250" w:type="pct"/>
          </w:tcPr>
          <w:p>
            <w:pPr>
              <w:tabs>
                <w:tab w:val="left" w:pos="728"/>
                <w:tab w:val="left" w:pos="1092"/>
              </w:tabs>
              <w:jc w:val="center"/>
              <w:rPr>
                <w:rFonts w:hint="eastAsia" w:ascii="楷体" w:hAnsi="楷体" w:eastAsia="楷体" w:cs="Calibri"/>
                <w:szCs w:val="21"/>
              </w:rPr>
            </w:pPr>
            <w:r>
              <w:rPr>
                <w:rFonts w:hint="eastAsia" w:ascii="楷体" w:hAnsi="楷体" w:eastAsia="楷体" w:cs="Calibri"/>
                <w:szCs w:val="21"/>
              </w:rPr>
              <w:t>下周二</w:t>
            </w:r>
          </w:p>
        </w:tc>
      </w:tr>
    </w:tbl>
    <w:p>
      <w:pPr>
        <w:tabs>
          <w:tab w:val="left" w:pos="728"/>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rPr>
        <w:t>投资者应在系统扣款前保证资金账户中拥有足够可用余额，因投资者资金账户余额不足、司法冻结、不可抗力因素或其他不可归责于苏银理财和销售机构的事由出现，造成扣款失败、申购申请未被确认的，苏银理财和销售机构不承担法律责任。</w:t>
      </w:r>
    </w:p>
    <w:p>
      <w:pPr>
        <w:numPr>
          <w:ilvl w:val="0"/>
          <w:numId w:val="22"/>
        </w:numPr>
        <w:tabs>
          <w:tab w:val="left" w:pos="728"/>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申购撤单</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w:t>
      </w:r>
      <w:r>
        <w:rPr>
          <w:rFonts w:ascii="楷体" w:hAnsi="楷体" w:eastAsia="楷体" w:cs="Calibri"/>
          <w:sz w:val="24"/>
          <w:szCs w:val="24"/>
        </w:rPr>
        <w:t>0</w:t>
      </w:r>
      <w:r>
        <w:rPr>
          <w:rFonts w:hint="eastAsia" w:ascii="楷体" w:hAnsi="楷体" w:eastAsia="楷体" w:cs="Calibri"/>
          <w:sz w:val="24"/>
          <w:szCs w:val="24"/>
        </w:rPr>
        <w:t>:00至17:00提交的申购申请，投资者可在当日17:00前提交撤单申请，系统受理并解除申购资金冻结，17:00后已冻结的申购资金属于在途待确认份额状态，投资者无法提交撤单申请。</w:t>
      </w:r>
    </w:p>
    <w:p>
      <w:pPr>
        <w:numPr>
          <w:ilvl w:val="0"/>
          <w:numId w:val="2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工作日17:00至2</w:t>
      </w:r>
      <w:r>
        <w:rPr>
          <w:rFonts w:ascii="楷体" w:hAnsi="楷体" w:eastAsia="楷体" w:cs="Calibri"/>
          <w:sz w:val="24"/>
          <w:szCs w:val="24"/>
        </w:rPr>
        <w:t>4</w:t>
      </w:r>
      <w:r>
        <w:rPr>
          <w:rFonts w:hint="eastAsia" w:ascii="楷体" w:hAnsi="楷体" w:eastAsia="楷体" w:cs="Calibri"/>
          <w:sz w:val="24"/>
          <w:szCs w:val="24"/>
        </w:rPr>
        <w:t>:00前的申购申请为预约申请，在下一工作日17:00前投资者均可提交撤单申请。</w:t>
      </w:r>
    </w:p>
    <w:p>
      <w:pPr>
        <w:numPr>
          <w:ilvl w:val="0"/>
          <w:numId w:val="21"/>
        </w:numPr>
        <w:tabs>
          <w:tab w:val="left" w:pos="993"/>
        </w:tabs>
        <w:ind w:left="0" w:firstLine="482" w:firstLineChars="200"/>
        <w:outlineLvl w:val="1"/>
        <w:rPr>
          <w:rFonts w:hint="eastAsia" w:ascii="楷体" w:hAnsi="楷体" w:eastAsia="楷体" w:cs="Calibri"/>
          <w:b/>
          <w:sz w:val="24"/>
          <w:szCs w:val="24"/>
        </w:rPr>
      </w:pPr>
      <w:r>
        <w:rPr>
          <w:rFonts w:ascii="楷体" w:hAnsi="楷体" w:eastAsia="楷体" w:cs="Calibri"/>
          <w:b/>
          <w:sz w:val="24"/>
          <w:szCs w:val="24"/>
        </w:rPr>
        <w:t>赎回及赎回资金的清算</w:t>
      </w:r>
    </w:p>
    <w:p>
      <w:pPr>
        <w:numPr>
          <w:ilvl w:val="0"/>
          <w:numId w:val="25"/>
        </w:numPr>
        <w:tabs>
          <w:tab w:val="left" w:pos="728"/>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赎回期：本产品投资封闭期结束后的每日00:00至24:00为赎回期，投资者可在赎回期提交赎回申请。投资者份额确认后持有时间超过14个自然日，投资者可自主发起赎回，工作日17：00前赎回T+1确认，17：00后的赎回为预受理，视同下一工作日赎回。（具体以销售机构设置为准）</w:t>
      </w:r>
    </w:p>
    <w:p>
      <w:pPr>
        <w:numPr>
          <w:ilvl w:val="0"/>
          <w:numId w:val="25"/>
        </w:numPr>
        <w:tabs>
          <w:tab w:val="left" w:pos="728"/>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赎回原则</w:t>
      </w:r>
    </w:p>
    <w:p>
      <w:pPr>
        <w:numPr>
          <w:ilvl w:val="0"/>
          <w:numId w:val="26"/>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“未知价”原则：投资者赎回本理财产品时，采用“未知价”原则，以投资者赎回受理日当日产品单位净值为准计算赎回兑付金额。</w:t>
      </w:r>
    </w:p>
    <w:p>
      <w:pPr>
        <w:numPr>
          <w:ilvl w:val="0"/>
          <w:numId w:val="26"/>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“份额赎回”原则：本理财产品赎回以份额赎回，赎回金额=赎回份额×产品单位净值。产品的超额业绩报酬等费用（如有）将从赎回金额中扣除，详见“十一、产品运作”计算示例。</w:t>
      </w:r>
    </w:p>
    <w:p>
      <w:pPr>
        <w:numPr>
          <w:ilvl w:val="0"/>
          <w:numId w:val="26"/>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赎回限制：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详见下文“巨额赎回的认定及处理”）</w:t>
      </w:r>
    </w:p>
    <w:p>
      <w:pPr>
        <w:numPr>
          <w:ilvl w:val="0"/>
          <w:numId w:val="26"/>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赎回资金到账：实际赎回确认日后4个工作日内到达投资者资金账户。</w:t>
      </w:r>
    </w:p>
    <w:p>
      <w:pPr>
        <w:numPr>
          <w:ilvl w:val="0"/>
          <w:numId w:val="21"/>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巨额赎回的认定及处理</w:t>
      </w:r>
    </w:p>
    <w:p>
      <w:pPr>
        <w:numPr>
          <w:ilvl w:val="0"/>
          <w:numId w:val="27"/>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hint="eastAsia"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27"/>
        </w:numPr>
        <w:tabs>
          <w:tab w:val="left" w:pos="728"/>
        </w:tabs>
        <w:ind w:left="0" w:firstLine="480" w:firstLineChars="200"/>
        <w:outlineLvl w:val="2"/>
        <w:rPr>
          <w:rFonts w:hint="eastAsia"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hint="eastAsia"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hint="eastAsia"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hint="eastAsia"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p>
      <w:pPr>
        <w:tabs>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rPr>
        <w:t>（4）连续2个以上开放日发生巨额赎回的，管理人除有权选择全额赎回或部分赎回等措施外，对于已经接受的赎回申请，管理人可以延缓支付赎回款项，但延缓期限不得超过20个工作日。</w:t>
      </w:r>
    </w:p>
    <w:p>
      <w:pPr>
        <w:tabs>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rPr>
        <w:t>（5）赎回资金到账：未发生</w:t>
      </w:r>
      <w:r>
        <w:rPr>
          <w:rFonts w:ascii="楷体" w:hAnsi="楷体" w:eastAsia="楷体" w:cs="Calibri"/>
          <w:sz w:val="24"/>
          <w:szCs w:val="24"/>
        </w:rPr>
        <w:t>巨额赎回的情况下，</w:t>
      </w:r>
      <w:r>
        <w:rPr>
          <w:rFonts w:hint="eastAsia" w:ascii="楷体" w:hAnsi="楷体" w:eastAsia="楷体" w:cs="Calibri"/>
          <w:sz w:val="24"/>
          <w:szCs w:val="24"/>
        </w:rPr>
        <w:t>实际赎回确认日后4个工作日内到达投资者资金账户。</w:t>
      </w:r>
    </w:p>
    <w:p>
      <w:pPr>
        <w:numPr>
          <w:ilvl w:val="0"/>
          <w:numId w:val="21"/>
        </w:numPr>
        <w:tabs>
          <w:tab w:val="left" w:pos="993"/>
        </w:tabs>
        <w:ind w:left="0" w:firstLine="482" w:firstLineChars="200"/>
        <w:outlineLvl w:val="1"/>
        <w:rPr>
          <w:rFonts w:hint="eastAsia" w:ascii="楷体" w:hAnsi="楷体" w:eastAsia="楷体" w:cs="Calibri"/>
          <w:b/>
          <w:sz w:val="24"/>
          <w:szCs w:val="24"/>
        </w:rPr>
      </w:pPr>
      <w:r>
        <w:rPr>
          <w:rFonts w:hint="eastAsia" w:ascii="楷体" w:hAnsi="楷体" w:eastAsia="楷体" w:cs="Calibri"/>
          <w:b/>
          <w:sz w:val="24"/>
          <w:szCs w:val="24"/>
        </w:rPr>
        <w:t>特殊情形及处理</w:t>
      </w:r>
    </w:p>
    <w:p>
      <w:pPr>
        <w:ind w:firstLine="482" w:firstLineChars="200"/>
        <w:outlineLvl w:val="2"/>
        <w:rPr>
          <w:rFonts w:hint="eastAsia"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（1）不可抗力的原因导致产品无法正常运作。</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（2）超出产品单一投资者持有上限。</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（3）发生《理财产品说明书》约定的暂停估值的情形。</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（4）管理人接受某笔或者某些申购申请有可能导致单一投资者持有理财计划份额的比例达到或者超过50%的情形。</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（5）当接受某笔或某些申购申请可能对存量理财计划份额持有人利益构成潜在重大不利影响时。</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（6）法律、法规规定认定的其他情形。</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82" w:firstLineChars="200"/>
        <w:outlineLvl w:val="2"/>
        <w:rPr>
          <w:rFonts w:hint="eastAsia"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（2）触发巨额赎回条款。</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（3）发生《理财产品说明书》约定的暂停估值的情形。</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（4）当接受某笔或某些赎回申请可能对存量理财计划份额持有人利益构成潜在重大不利影响时。</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（5）发生单个投资者单个开放日申请赎回理财计划份额超过理财产品总份额10%的情形。</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（6）法律、法规规定认定的其他情形。</w:t>
      </w:r>
    </w:p>
    <w:p>
      <w:pPr>
        <w:tabs>
          <w:tab w:val="left" w:pos="1092"/>
        </w:tabs>
        <w:ind w:firstLine="480" w:firstLineChars="200"/>
        <w:rPr>
          <w:rFonts w:hint="eastAsia" w:ascii="楷体" w:hAnsi="楷体" w:eastAsia="楷体" w:cs="Calibri"/>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产品估值</w:t>
      </w:r>
    </w:p>
    <w:p>
      <w:pPr>
        <w:numPr>
          <w:ilvl w:val="0"/>
          <w:numId w:val="28"/>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估值对象</w:t>
      </w:r>
    </w:p>
    <w:p>
      <w:pPr>
        <w:ind w:firstLine="480" w:firstLineChars="200"/>
        <w:rPr>
          <w:rFonts w:hint="eastAsia" w:ascii="楷体" w:hAnsi="楷体" w:eastAsia="楷体"/>
          <w:sz w:val="24"/>
          <w:szCs w:val="24"/>
        </w:rPr>
      </w:pPr>
      <w:r>
        <w:rPr>
          <w:rFonts w:hint="eastAsia" w:ascii="楷体" w:hAnsi="楷体" w:eastAsia="楷体"/>
          <w:sz w:val="24"/>
          <w:szCs w:val="24"/>
        </w:rPr>
        <w:t>本产品所拥有的各类证券、银行存款本息、应收款项及其它资产及负债。</w:t>
      </w:r>
    </w:p>
    <w:p>
      <w:pPr>
        <w:numPr>
          <w:ilvl w:val="0"/>
          <w:numId w:val="28"/>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估值要求</w:t>
      </w:r>
    </w:p>
    <w:p>
      <w:pPr>
        <w:numPr>
          <w:ilvl w:val="0"/>
          <w:numId w:val="2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本产品资产估值的目的是客观、准确的反映资产净值，确定理财产品资产净值，并为理财产品的认</w:t>
      </w:r>
      <w:r>
        <w:rPr>
          <w:rFonts w:ascii="楷体" w:hAnsi="楷体" w:eastAsia="楷体" w:cs="Calibri"/>
          <w:sz w:val="24"/>
          <w:szCs w:val="24"/>
        </w:rPr>
        <w:t>/</w:t>
      </w:r>
      <w:r>
        <w:rPr>
          <w:rFonts w:hint="eastAsia" w:ascii="楷体" w:hAnsi="楷体" w:eastAsia="楷体" w:cs="Calibri"/>
          <w:sz w:val="24"/>
          <w:szCs w:val="24"/>
        </w:rPr>
        <w:t>申购、赎回和兑付提供计价依据。</w:t>
      </w:r>
    </w:p>
    <w:p>
      <w:pPr>
        <w:numPr>
          <w:ilvl w:val="0"/>
          <w:numId w:val="2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本产品单位净值精确到小数点后6位，小数点6位后截位。</w:t>
      </w:r>
    </w:p>
    <w:p>
      <w:pPr>
        <w:numPr>
          <w:ilvl w:val="0"/>
          <w:numId w:val="29"/>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本产品每日估值。</w:t>
      </w:r>
    </w:p>
    <w:p>
      <w:pPr>
        <w:numPr>
          <w:ilvl w:val="0"/>
          <w:numId w:val="28"/>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估值方法</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1.存款类资产、货币市场工具：以本金列示，逐日计提利息。</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2.货币市场基金：按公允价值进行估值，以估值截止时间点能够取得的最新每万份收益进行估值。</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3.债券类资产：按公允价值进行估值，采用市价、监管认可的第三方估值机构提供的估值价格进行估值。</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4.权益类资产：按公允价值进行估值，采用市价、监管认可的第三方估值机构提供的估值价格进行估值。</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80" w:firstLineChars="200"/>
        <w:rPr>
          <w:rFonts w:hint="eastAsia" w:ascii="楷体" w:hAnsi="楷体" w:eastAsia="楷体" w:cs="Calibri"/>
          <w:sz w:val="24"/>
          <w:szCs w:val="24"/>
        </w:rPr>
      </w:pPr>
      <w:r>
        <w:rPr>
          <w:rFonts w:hint="eastAsia" w:ascii="楷体" w:hAnsi="楷体" w:eastAsia="楷体" w:cs="Calibri"/>
          <w:sz w:val="24"/>
          <w:szCs w:val="24"/>
        </w:rPr>
        <w:t>6.其他资产：按公允价值进行估值。</w:t>
      </w:r>
    </w:p>
    <w:p>
      <w:pPr>
        <w:ind w:firstLine="480" w:firstLineChars="200"/>
        <w:rPr>
          <w:rFonts w:hint="eastAsia" w:ascii="楷体" w:hAnsi="楷体" w:eastAsia="楷体"/>
          <w:sz w:val="24"/>
          <w:szCs w:val="24"/>
        </w:rPr>
      </w:pPr>
      <w:r>
        <w:rPr>
          <w:rFonts w:hint="eastAsia" w:ascii="楷体" w:hAnsi="楷体" w:eastAsia="楷体" w:cs="Calibri"/>
          <w:sz w:val="24"/>
          <w:szCs w:val="24"/>
        </w:rPr>
        <w:t>如有新增事项或变更事项，按国家法律法规及监管最新规定执行</w:t>
      </w:r>
      <w:r>
        <w:rPr>
          <w:rFonts w:hint="eastAsia" w:ascii="楷体" w:hAnsi="楷体" w:eastAsia="楷体"/>
          <w:sz w:val="24"/>
          <w:szCs w:val="24"/>
        </w:rPr>
        <w:t>。</w:t>
      </w:r>
    </w:p>
    <w:p>
      <w:pPr>
        <w:numPr>
          <w:ilvl w:val="0"/>
          <w:numId w:val="28"/>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估值错误的处理</w:t>
      </w:r>
    </w:p>
    <w:p>
      <w:pPr>
        <w:ind w:firstLine="480" w:firstLineChars="200"/>
        <w:rPr>
          <w:rFonts w:hint="eastAsia"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28"/>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产品运作</w:t>
      </w:r>
    </w:p>
    <w:p>
      <w:pPr>
        <w:numPr>
          <w:ilvl w:val="0"/>
          <w:numId w:val="30"/>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申购份额=申购金额/申购受理日产品单位净值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numPr>
          <w:ilvl w:val="0"/>
          <w:numId w:val="30"/>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赎回金额=赎回份额*赎回受理日产品单位净值</w:t>
      </w:r>
    </w:p>
    <w:p>
      <w:pPr>
        <w:ind w:firstLine="472" w:firstLineChars="200"/>
        <w:rPr>
          <w:rFonts w:hint="eastAsia" w:ascii="楷体" w:hAnsi="楷体" w:eastAsia="楷体"/>
          <w:sz w:val="24"/>
          <w:szCs w:val="24"/>
        </w:rPr>
      </w:pPr>
      <w:r>
        <w:rPr>
          <w:rFonts w:hint="eastAsia" w:ascii="楷体" w:hAnsi="楷体" w:eastAsia="楷体" w:cs="宋体"/>
          <w:spacing w:val="-2"/>
          <w:sz w:val="24"/>
          <w:szCs w:val="28"/>
        </w:rPr>
        <w:t>产品</w:t>
      </w:r>
      <w:r>
        <w:rPr>
          <w:rFonts w:ascii="楷体" w:hAnsi="楷体" w:eastAsia="楷体" w:cs="宋体"/>
          <w:spacing w:val="-2"/>
          <w:sz w:val="24"/>
          <w:szCs w:val="28"/>
        </w:rPr>
        <w:t>的超额业绩报酬</w:t>
      </w:r>
      <w:r>
        <w:rPr>
          <w:rFonts w:hint="eastAsia" w:ascii="楷体" w:hAnsi="楷体" w:eastAsia="楷体" w:cs="宋体"/>
          <w:spacing w:val="-2"/>
          <w:sz w:val="24"/>
          <w:szCs w:val="28"/>
        </w:rPr>
        <w:t>等</w:t>
      </w:r>
      <w:r>
        <w:rPr>
          <w:rFonts w:ascii="楷体" w:hAnsi="楷体" w:eastAsia="楷体" w:cs="宋体"/>
          <w:spacing w:val="-2"/>
          <w:sz w:val="24"/>
          <w:szCs w:val="28"/>
        </w:rPr>
        <w:t>费用（</w:t>
      </w:r>
      <w:r>
        <w:rPr>
          <w:rFonts w:hint="eastAsia" w:ascii="楷体" w:hAnsi="楷体" w:eastAsia="楷体" w:cs="宋体"/>
          <w:spacing w:val="-2"/>
          <w:sz w:val="24"/>
          <w:szCs w:val="28"/>
        </w:rPr>
        <w:t>如有</w:t>
      </w:r>
      <w:r>
        <w:rPr>
          <w:rFonts w:ascii="楷体" w:hAnsi="楷体" w:eastAsia="楷体" w:cs="宋体"/>
          <w:spacing w:val="-2"/>
          <w:sz w:val="24"/>
          <w:szCs w:val="28"/>
        </w:rPr>
        <w:t>）</w:t>
      </w:r>
      <w:r>
        <w:rPr>
          <w:rFonts w:hint="eastAsia" w:ascii="楷体" w:hAnsi="楷体" w:eastAsia="楷体" w:cs="宋体"/>
          <w:spacing w:val="-2"/>
          <w:sz w:val="24"/>
          <w:szCs w:val="28"/>
        </w:rPr>
        <w:t>将从</w:t>
      </w:r>
      <w:r>
        <w:rPr>
          <w:rFonts w:ascii="楷体" w:hAnsi="楷体" w:eastAsia="楷体" w:cs="宋体"/>
          <w:spacing w:val="-2"/>
          <w:sz w:val="24"/>
          <w:szCs w:val="28"/>
        </w:rPr>
        <w:t>赎回金额中扣除</w:t>
      </w:r>
      <w:r>
        <w:rPr>
          <w:rFonts w:hint="eastAsia" w:ascii="楷体" w:hAnsi="楷体" w:eastAsia="楷体"/>
          <w:sz w:val="24"/>
          <w:szCs w:val="24"/>
        </w:rPr>
        <w:t>，赎回金额以四舍五入的方法保留到小数点后两位</w:t>
      </w:r>
    </w:p>
    <w:p>
      <w:pPr>
        <w:numPr>
          <w:ilvl w:val="0"/>
          <w:numId w:val="30"/>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计算示例</w:t>
      </w:r>
    </w:p>
    <w:p>
      <w:pPr>
        <w:tabs>
          <w:tab w:val="left" w:pos="993"/>
        </w:tabs>
        <w:ind w:left="480"/>
        <w:rPr>
          <w:rFonts w:hint="eastAsia" w:ascii="楷体" w:hAnsi="楷体" w:eastAsia="楷体" w:cs="Calibri"/>
          <w:b/>
          <w:sz w:val="24"/>
          <w:szCs w:val="24"/>
          <w:u w:val="single"/>
        </w:rPr>
      </w:pPr>
      <w:r>
        <w:rPr>
          <w:rFonts w:hint="eastAsia" w:ascii="楷体" w:hAnsi="楷体" w:eastAsia="楷体" w:cs="Calibri"/>
          <w:b/>
          <w:sz w:val="24"/>
          <w:szCs w:val="24"/>
          <w:u w:val="single"/>
        </w:rPr>
        <w:t>以下示例均为假设情况，不代表本产品实际投资业绩。</w:t>
      </w:r>
    </w:p>
    <w:p>
      <w:pPr>
        <w:numPr>
          <w:ilvl w:val="0"/>
          <w:numId w:val="31"/>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0000元，</w:t>
      </w:r>
      <w:r>
        <w:rPr>
          <w:rFonts w:hint="eastAsia" w:ascii="楷体" w:hAnsi="楷体" w:eastAsia="楷体"/>
          <w:sz w:val="24"/>
          <w:szCs w:val="24"/>
        </w:rPr>
        <w:t>对应申购日产品单位净值</w:t>
      </w:r>
      <w:r>
        <w:rPr>
          <w:rFonts w:ascii="楷体" w:hAnsi="楷体" w:eastAsia="楷体"/>
          <w:sz w:val="24"/>
          <w:szCs w:val="24"/>
        </w:rPr>
        <w:t>为1.</w:t>
      </w:r>
      <w:r>
        <w:rPr>
          <w:rFonts w:hint="eastAsia" w:ascii="楷体" w:hAnsi="楷体" w:eastAsia="楷体"/>
          <w:sz w:val="24"/>
          <w:szCs w:val="24"/>
        </w:rPr>
        <w:t>08</w:t>
      </w:r>
      <w:r>
        <w:rPr>
          <w:rFonts w:ascii="楷体" w:hAnsi="楷体" w:eastAsia="楷体"/>
          <w:sz w:val="24"/>
          <w:szCs w:val="24"/>
        </w:rPr>
        <w:t>0334，</w:t>
      </w:r>
      <w:r>
        <w:rPr>
          <w:rFonts w:hint="eastAsia" w:ascii="楷体" w:hAnsi="楷体" w:eastAsia="楷体"/>
          <w:sz w:val="24"/>
          <w:szCs w:val="24"/>
        </w:rPr>
        <w:t>客户申购确认份额为9256.40份，持有超过14天后某个赎回日投资者提交赎回申请，赎回其所持有全部份额，对应赎回日产品单位净值为1.090221。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08</w:t>
      </w:r>
      <w:r>
        <w:rPr>
          <w:rFonts w:ascii="楷体" w:hAnsi="楷体" w:eastAsia="楷体"/>
          <w:sz w:val="24"/>
          <w:szCs w:val="24"/>
        </w:rPr>
        <w:t>0334</w:t>
      </w:r>
      <w:r>
        <w:rPr>
          <w:rFonts w:hint="eastAsia" w:ascii="楷体" w:hAnsi="楷体" w:eastAsia="楷体"/>
          <w:sz w:val="24"/>
          <w:szCs w:val="24"/>
        </w:rPr>
        <w:t>=9256.40份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投资者赎回兑付金额=9256.40</w:t>
      </w:r>
      <w:r>
        <w:rPr>
          <w:rFonts w:ascii="楷体" w:hAnsi="楷体" w:eastAsia="楷体"/>
          <w:sz w:val="24"/>
          <w:szCs w:val="24"/>
        </w:rPr>
        <w:t>×</w:t>
      </w:r>
      <w:r>
        <w:rPr>
          <w:rFonts w:hint="eastAsia" w:ascii="楷体" w:hAnsi="楷体" w:eastAsia="楷体"/>
          <w:sz w:val="24"/>
          <w:szCs w:val="24"/>
        </w:rPr>
        <w:t>1.090221=10091.52元</w:t>
      </w:r>
    </w:p>
    <w:p>
      <w:pPr>
        <w:ind w:firstLine="480" w:firstLineChars="200"/>
        <w:rPr>
          <w:rFonts w:hint="eastAsia" w:ascii="楷体" w:hAnsi="楷体" w:eastAsia="楷体"/>
          <w:sz w:val="24"/>
          <w:szCs w:val="24"/>
        </w:rPr>
      </w:pPr>
      <w:r>
        <w:rPr>
          <w:rFonts w:hint="eastAsia" w:ascii="楷体" w:hAnsi="楷体" w:eastAsia="楷体"/>
          <w:sz w:val="24"/>
          <w:szCs w:val="24"/>
        </w:rPr>
        <w:t>投资者</w:t>
      </w:r>
      <w:r>
        <w:rPr>
          <w:rFonts w:ascii="楷体" w:hAnsi="楷体" w:eastAsia="楷体"/>
          <w:sz w:val="24"/>
          <w:szCs w:val="24"/>
        </w:rPr>
        <w:t>投资收益金额=</w:t>
      </w:r>
      <w:r>
        <w:rPr>
          <w:rFonts w:hint="eastAsia" w:ascii="楷体" w:hAnsi="楷体" w:eastAsia="楷体"/>
          <w:sz w:val="24"/>
          <w:szCs w:val="24"/>
        </w:rPr>
        <w:t>10091.52</w:t>
      </w:r>
      <w:r>
        <w:rPr>
          <w:rFonts w:ascii="楷体" w:hAnsi="楷体" w:eastAsia="楷体"/>
          <w:sz w:val="24"/>
          <w:szCs w:val="24"/>
        </w:rPr>
        <w:t>-</w:t>
      </w:r>
      <w:r>
        <w:rPr>
          <w:rFonts w:hint="eastAsia" w:ascii="楷体" w:hAnsi="楷体" w:eastAsia="楷体"/>
          <w:sz w:val="24"/>
          <w:szCs w:val="24"/>
        </w:rPr>
        <w:t>10000=91.52元</w:t>
      </w:r>
    </w:p>
    <w:p>
      <w:pPr>
        <w:numPr>
          <w:ilvl w:val="0"/>
          <w:numId w:val="31"/>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假定投资者申购10000元，对应申购日产品单位净值为1.080334，客户申购确认份额为9256.40份，持有超过14天后某个赎回日投资者提交赎回申请，赎回其所持有本产品全部份额，对应赎回日产品单位净值为1.074231。</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0000</w:t>
      </w:r>
      <w:r>
        <w:rPr>
          <w:rFonts w:hint="eastAsia" w:ascii="楷体" w:hAnsi="楷体" w:eastAsia="楷体"/>
          <w:sz w:val="24"/>
          <w:szCs w:val="24"/>
        </w:rPr>
        <w:t>/</w:t>
      </w:r>
      <w:r>
        <w:rPr>
          <w:rFonts w:ascii="楷体" w:hAnsi="楷体" w:eastAsia="楷体"/>
          <w:sz w:val="24"/>
          <w:szCs w:val="24"/>
        </w:rPr>
        <w:t>1.</w:t>
      </w:r>
      <w:r>
        <w:rPr>
          <w:rFonts w:hint="eastAsia" w:ascii="楷体" w:hAnsi="楷体" w:eastAsia="楷体"/>
          <w:sz w:val="24"/>
          <w:szCs w:val="24"/>
        </w:rPr>
        <w:t>08</w:t>
      </w:r>
      <w:r>
        <w:rPr>
          <w:rFonts w:ascii="楷体" w:hAnsi="楷体" w:eastAsia="楷体"/>
          <w:sz w:val="24"/>
          <w:szCs w:val="24"/>
        </w:rPr>
        <w:t>0334</w:t>
      </w:r>
      <w:r>
        <w:rPr>
          <w:rFonts w:hint="eastAsia" w:ascii="楷体" w:hAnsi="楷体" w:eastAsia="楷体"/>
          <w:sz w:val="24"/>
          <w:szCs w:val="24"/>
        </w:rPr>
        <w:t>=9256.40份</w:t>
      </w:r>
    </w:p>
    <w:p>
      <w:pPr>
        <w:ind w:firstLine="480" w:firstLineChars="200"/>
        <w:rPr>
          <w:rFonts w:hint="eastAsia" w:ascii="楷体" w:hAnsi="楷体" w:eastAsia="楷体"/>
          <w:sz w:val="24"/>
          <w:szCs w:val="24"/>
        </w:rPr>
      </w:pPr>
      <w:r>
        <w:rPr>
          <w:rFonts w:hint="eastAsia" w:ascii="楷体" w:hAnsi="楷体" w:eastAsia="楷体"/>
          <w:sz w:val="24"/>
          <w:szCs w:val="24"/>
        </w:rPr>
        <w:t>投资者赎回兑付金额=9256.40×1.074231=9943.51元</w:t>
      </w:r>
    </w:p>
    <w:p>
      <w:pPr>
        <w:ind w:firstLine="480" w:firstLineChars="200"/>
        <w:rPr>
          <w:rFonts w:hint="eastAsia" w:ascii="楷体" w:hAnsi="楷体" w:eastAsia="楷体"/>
          <w:sz w:val="24"/>
          <w:szCs w:val="24"/>
        </w:rPr>
      </w:pPr>
      <w:r>
        <w:rPr>
          <w:rFonts w:hint="eastAsia" w:ascii="楷体" w:hAnsi="楷体" w:eastAsia="楷体"/>
          <w:sz w:val="24"/>
          <w:szCs w:val="24"/>
        </w:rPr>
        <w:t>投资者投资收益金额=9943.51-10000=-56.49元</w:t>
      </w:r>
    </w:p>
    <w:p>
      <w:pPr>
        <w:ind w:firstLine="422" w:firstLineChars="176"/>
        <w:rPr>
          <w:rFonts w:hint="eastAsia" w:ascii="楷体" w:hAnsi="楷体" w:eastAsia="楷体" w:cs="Calibri"/>
          <w:sz w:val="24"/>
          <w:szCs w:val="24"/>
        </w:rPr>
      </w:pPr>
      <w:r>
        <w:rPr>
          <w:rFonts w:hint="eastAsia" w:ascii="楷体" w:hAnsi="楷体" w:eastAsia="楷体"/>
          <w:sz w:val="24"/>
          <w:szCs w:val="24"/>
        </w:rPr>
        <w:t>投资者投资本理财产品实际亏损56.49元，</w:t>
      </w:r>
      <w:r>
        <w:rPr>
          <w:rFonts w:hint="eastAsia" w:ascii="楷体" w:hAnsi="楷体" w:eastAsia="楷体"/>
          <w:b/>
          <w:sz w:val="24"/>
          <w:szCs w:val="24"/>
          <w:u w:val="single"/>
        </w:rPr>
        <w:t>最不利的情形下，投资者可能损失100%本金。</w:t>
      </w:r>
    </w:p>
    <w:p>
      <w:pPr>
        <w:ind w:firstLine="426" w:firstLineChars="177"/>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理财产品的终止与清算</w:t>
      </w:r>
    </w:p>
    <w:p>
      <w:pPr>
        <w:numPr>
          <w:ilvl w:val="0"/>
          <w:numId w:val="32"/>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理财产品的终止</w:t>
      </w:r>
    </w:p>
    <w:p>
      <w:pPr>
        <w:numPr>
          <w:ilvl w:val="0"/>
          <w:numId w:val="3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3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3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34"/>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3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正常兑付</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w:t>
      </w:r>
    </w:p>
    <w:p>
      <w:pPr>
        <w:numPr>
          <w:ilvl w:val="0"/>
          <w:numId w:val="33"/>
        </w:numPr>
        <w:tabs>
          <w:tab w:val="left" w:pos="728"/>
        </w:tabs>
        <w:ind w:left="0" w:firstLine="480" w:firstLineChars="200"/>
        <w:outlineLvl w:val="2"/>
        <w:rPr>
          <w:rFonts w:hint="eastAsia" w:ascii="楷体" w:hAnsi="楷体" w:eastAsia="楷体" w:cs="Calibri"/>
          <w:sz w:val="24"/>
          <w:szCs w:val="24"/>
        </w:rPr>
      </w:pPr>
      <w:r>
        <w:rPr>
          <w:rFonts w:hint="eastAsia" w:ascii="楷体" w:hAnsi="楷体" w:eastAsia="楷体" w:cs="Calibri"/>
          <w:sz w:val="24"/>
          <w:szCs w:val="24"/>
        </w:rPr>
        <w:t>★延期兑付</w:t>
      </w:r>
    </w:p>
    <w:p>
      <w:pPr>
        <w:ind w:firstLine="480" w:firstLineChars="200"/>
        <w:rPr>
          <w:rFonts w:hint="eastAsia"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35"/>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35"/>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因不可抗力、市场发生重大变化等原因导致产品项下对应的投资标的无法及时变现、无法及时收回资金。</w:t>
      </w:r>
    </w:p>
    <w:p>
      <w:pPr>
        <w:numPr>
          <w:ilvl w:val="0"/>
          <w:numId w:val="35"/>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ind w:firstLine="480" w:firstLineChars="200"/>
        <w:rPr>
          <w:rFonts w:hint="eastAsia" w:ascii="楷体" w:hAnsi="楷体" w:eastAsia="楷体"/>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32"/>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理财产品的清算</w:t>
      </w:r>
    </w:p>
    <w:p>
      <w:pPr>
        <w:numPr>
          <w:ilvl w:val="0"/>
          <w:numId w:val="3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自本理财产品终止日至投资者理财本金及收益到账日之间为本理财产品的清算期。清算期原则上不得超过5个工作日，清算期超过5个工作日的，将依约定进行公告。</w:t>
      </w:r>
    </w:p>
    <w:p>
      <w:pPr>
        <w:numPr>
          <w:ilvl w:val="0"/>
          <w:numId w:val="36"/>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产品管理人将依照合同约定公布提前终止日并明确兑付日（一般为提前终止日之后的三个工作日以内）。产品管理人应将投资者理财资金于兑付日（遇节假日顺延）内划转至投资者资金账户。</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产品费用</w:t>
      </w:r>
    </w:p>
    <w:p>
      <w:pPr>
        <w:numPr>
          <w:ilvl w:val="0"/>
          <w:numId w:val="37"/>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费用种类</w:t>
      </w:r>
    </w:p>
    <w:p>
      <w:pPr>
        <w:ind w:firstLine="480" w:firstLineChars="200"/>
        <w:rPr>
          <w:rFonts w:hint="eastAsia"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37"/>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计提方法、计提标准和支付方式</w:t>
      </w:r>
    </w:p>
    <w:p>
      <w:pPr>
        <w:numPr>
          <w:ilvl w:val="0"/>
          <w:numId w:val="3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3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每日应计提的销售服务费＝∑前一日的产品资产净值×各份额销售服务费率÷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38"/>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投资管理费：本产品的投资管理费每日计提，按月支付，由管理人收取。计算方法如下：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每日应计提的投资管理费＝∑前一日的产品资产净值×各份额投资管理费率÷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tabs>
          <w:tab w:val="left" w:pos="728"/>
        </w:tabs>
        <w:ind w:firstLine="480" w:firstLineChars="200"/>
        <w:rPr>
          <w:rFonts w:hint="eastAsia" w:ascii="楷体" w:hAnsi="楷体" w:eastAsia="楷体" w:cs="Calibri"/>
          <w:sz w:val="24"/>
          <w:szCs w:val="24"/>
        </w:rPr>
      </w:pPr>
      <w:r>
        <w:rPr>
          <w:rFonts w:hint="eastAsia" w:ascii="楷体" w:hAnsi="楷体" w:eastAsia="楷体" w:cs="Calibri"/>
          <w:sz w:val="24"/>
          <w:szCs w:val="24"/>
        </w:rPr>
        <w:t>4.产品运作和清算中产生的交易手续费、注册登记费、账户服务费、审计费、及其他应由本产品承担的费用，按照实际发生时从产品中列支。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并至少于调整日之前2个工作日进行公告，产品管理人将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税收规定</w:t>
      </w:r>
    </w:p>
    <w:p>
      <w:pPr>
        <w:ind w:firstLine="480" w:firstLineChars="200"/>
        <w:rPr>
          <w:rFonts w:hint="eastAsia"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产品托管人</w:t>
      </w:r>
    </w:p>
    <w:p>
      <w:pPr>
        <w:numPr>
          <w:ilvl w:val="0"/>
          <w:numId w:val="3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托管人</w:t>
      </w:r>
    </w:p>
    <w:p>
      <w:pPr>
        <w:ind w:firstLine="480" w:firstLineChars="200"/>
        <w:rPr>
          <w:rFonts w:hint="eastAsia"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39"/>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托管人职责</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安全保管理财产品财产；</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监督理财产品投资运作；</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40"/>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信息披露</w:t>
      </w:r>
    </w:p>
    <w:p>
      <w:pPr>
        <w:numPr>
          <w:ilvl w:val="0"/>
          <w:numId w:val="41"/>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信息披露内容</w:t>
      </w:r>
    </w:p>
    <w:p>
      <w:pPr>
        <w:numPr>
          <w:ilvl w:val="0"/>
          <w:numId w:val="4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4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4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4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产品涉及关联交易；</w:t>
      </w:r>
    </w:p>
    <w:p>
      <w:pPr>
        <w:numPr>
          <w:ilvl w:val="0"/>
          <w:numId w:val="42"/>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41"/>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信息披露频率</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发行公告：管理人在产品成立后5个工作日内，披露产品成立公告，内容包括理财产品成立日期和募集规模等信息。</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到期公告：管理人在产品终止后5个工作日内，披露产品到期公告，内容包括理财产品的存续期限、终止日期、收费情况和收益分配情况等信息。</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重大事项公告：管理人在发生可能对理财产品投资者或者理财产品收益产生重大事项的事件后</w:t>
      </w:r>
      <w:r>
        <w:rPr>
          <w:rFonts w:ascii="楷体" w:hAnsi="楷体" w:eastAsia="楷体" w:cs="Calibri"/>
          <w:sz w:val="24"/>
          <w:szCs w:val="24"/>
        </w:rPr>
        <w:t>2</w:t>
      </w:r>
      <w:r>
        <w:rPr>
          <w:rFonts w:hint="eastAsia" w:ascii="楷体" w:hAnsi="楷体" w:eastAsia="楷体" w:cs="Calibri"/>
          <w:sz w:val="24"/>
          <w:szCs w:val="24"/>
        </w:rPr>
        <w:t>个工作日内发布重大事项公告。</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产品净值披露：本产品封闭运作期结束后，每个工作日公布一次产品单位净值。</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临时性信息披露：管理人将及时披露国务院银行业监督管理机构规定的其他信息或除重大事项事件以外的其他信息。</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半年度整体报告：每半年披露从事理财业务活动的有关信息。</w:t>
      </w:r>
    </w:p>
    <w:p>
      <w:pPr>
        <w:numPr>
          <w:ilvl w:val="0"/>
          <w:numId w:val="43"/>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理财账单：管理人每月向投资者提供其所持有的理财产品账单，账单内容包括但不限于投资者持有的理财产品份额、认购金额、份额单位净值、份额累计净值、资产净值、收益情况、投资者理财交易账户发生的交易明细记录等信息。</w:t>
      </w:r>
    </w:p>
    <w:p>
      <w:pPr>
        <w:numPr>
          <w:ilvl w:val="0"/>
          <w:numId w:val="41"/>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信息披露方式</w:t>
      </w:r>
    </w:p>
    <w:p>
      <w:pPr>
        <w:ind w:firstLine="480" w:firstLineChars="200"/>
        <w:rPr>
          <w:rFonts w:hint="eastAsia" w:ascii="楷体" w:hAnsi="楷体" w:eastAsia="楷体"/>
          <w:sz w:val="24"/>
          <w:szCs w:val="24"/>
        </w:rPr>
      </w:pPr>
      <w:r>
        <w:rPr>
          <w:rFonts w:hint="eastAsia" w:ascii="楷体" w:hAnsi="楷体" w:eastAsia="楷体"/>
          <w:sz w:val="24"/>
          <w:szCs w:val="24"/>
        </w:rPr>
        <w:t>由苏银理财按监管要求和说明书的约定，同时通过以下方式向投资者进行信息披露，披露方式包括：</w:t>
      </w:r>
    </w:p>
    <w:p>
      <w:pPr>
        <w:numPr>
          <w:ilvl w:val="0"/>
          <w:numId w:val="4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苏银理财通过苏银理财有限责任公司官方网站（</w:t>
      </w:r>
      <w:r>
        <w:rPr>
          <w:rFonts w:ascii="楷体" w:hAnsi="楷体" w:eastAsia="楷体" w:cs="Calibri"/>
          <w:sz w:val="24"/>
          <w:szCs w:val="24"/>
        </w:rPr>
        <w:t>www.suyinwealth.com</w:t>
      </w:r>
      <w:r>
        <w:rPr>
          <w:rFonts w:hint="eastAsia" w:ascii="楷体" w:hAnsi="楷体" w:eastAsia="楷体" w:cs="Calibri"/>
          <w:sz w:val="24"/>
          <w:szCs w:val="24"/>
        </w:rPr>
        <w:t>）进行信息披露。</w:t>
      </w:r>
    </w:p>
    <w:p>
      <w:pPr>
        <w:numPr>
          <w:ilvl w:val="0"/>
          <w:numId w:val="44"/>
        </w:numPr>
        <w:tabs>
          <w:tab w:val="left" w:pos="728"/>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苏银理财将信息披露内容发送销售机构，由销售机构通过短信及销售机构</w:t>
      </w:r>
    </w:p>
    <w:p>
      <w:pPr>
        <w:tabs>
          <w:tab w:val="left" w:pos="728"/>
        </w:tabs>
        <w:rPr>
          <w:rFonts w:hint="eastAsia" w:ascii="楷体" w:hAnsi="楷体" w:eastAsia="楷体" w:cs="Calibri"/>
          <w:sz w:val="24"/>
          <w:szCs w:val="24"/>
        </w:rPr>
      </w:pPr>
      <w:r>
        <w:rPr>
          <w:rFonts w:hint="eastAsia" w:ascii="楷体" w:hAnsi="楷体" w:eastAsia="楷体" w:cs="Calibri"/>
          <w:sz w:val="24"/>
          <w:szCs w:val="24"/>
        </w:rPr>
        <w:t>电子渠道和营业网点等方式进行信息披露。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公司官方网站或者向销售机构查询获取披露信息。</w:t>
      </w:r>
    </w:p>
    <w:p>
      <w:pPr>
        <w:numPr>
          <w:ilvl w:val="0"/>
          <w:numId w:val="11"/>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其他</w:t>
      </w:r>
    </w:p>
    <w:p>
      <w:pPr>
        <w:numPr>
          <w:ilvl w:val="0"/>
          <w:numId w:val="45"/>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追索条款</w:t>
      </w:r>
    </w:p>
    <w:p>
      <w:pPr>
        <w:ind w:firstLine="480" w:firstLineChars="200"/>
        <w:rPr>
          <w:rFonts w:hint="eastAsia"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45"/>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销售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rPr>
      </w:pPr>
      <w:r>
        <w:rPr>
          <w:rFonts w:hint="eastAsia" w:ascii="楷体" w:hAnsi="楷体" w:eastAsia="楷体"/>
          <w:sz w:val="24"/>
          <w:szCs w:val="24"/>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接触并按照苏银理财的业务要求以及“最少必须”原则使用投资人个人信息。苏银理财承诺将向有关第三方明确其保护投资人信息的职责并要求第三方承担相应的保密义务。</w:t>
      </w:r>
    </w:p>
    <w:p>
      <w:pPr>
        <w:numPr>
          <w:ilvl w:val="0"/>
          <w:numId w:val="45"/>
        </w:numPr>
        <w:tabs>
          <w:tab w:val="left" w:pos="993"/>
        </w:tabs>
        <w:ind w:left="0" w:firstLine="480" w:firstLineChars="200"/>
        <w:outlineLvl w:val="1"/>
        <w:rPr>
          <w:rFonts w:hint="eastAsia" w:ascii="楷体" w:hAnsi="楷体" w:eastAsia="楷体" w:cs="Calibri"/>
          <w:sz w:val="24"/>
          <w:szCs w:val="24"/>
        </w:rPr>
      </w:pPr>
      <w:r>
        <w:rPr>
          <w:rFonts w:hint="eastAsia" w:ascii="楷体" w:hAnsi="楷体" w:eastAsia="楷体" w:cs="Calibri"/>
          <w:sz w:val="24"/>
          <w:szCs w:val="24"/>
        </w:rPr>
        <w:t>争议解决</w:t>
      </w:r>
    </w:p>
    <w:p>
      <w:pPr>
        <w:ind w:firstLine="480" w:firstLineChars="200"/>
        <w:rPr>
          <w:rFonts w:hint="eastAsia"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hint="eastAsia" w:ascii="楷体" w:hAnsi="楷体" w:eastAsia="楷体"/>
          <w:sz w:val="24"/>
          <w:szCs w:val="24"/>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p>
      <w:pPr>
        <w:rPr>
          <w:rFonts w:hint="eastAsia" w:ascii="楷体" w:hAnsi="楷体" w:eastAsia="楷体"/>
          <w:b/>
          <w:sz w:val="36"/>
          <w:szCs w:val="36"/>
        </w:rPr>
      </w:pPr>
      <w:r>
        <w:rPr>
          <w:rFonts w:hint="eastAsia" w:ascii="楷体" w:hAnsi="楷体" w:eastAsia="楷体"/>
          <w:b/>
          <w:sz w:val="36"/>
          <w:szCs w:val="36"/>
        </w:rPr>
        <w:br w:type="page"/>
      </w:r>
    </w:p>
    <w:p>
      <w:pPr>
        <w:jc w:val="center"/>
        <w:rPr>
          <w:rFonts w:hint="eastAsia" w:ascii="楷体" w:hAnsi="楷体" w:eastAsia="楷体"/>
          <w:b/>
          <w:sz w:val="36"/>
          <w:szCs w:val="36"/>
        </w:rPr>
      </w:pPr>
      <w:r>
        <w:rPr>
          <w:rFonts w:hint="eastAsia" w:ascii="楷体" w:hAnsi="楷体" w:eastAsia="楷体"/>
          <w:b/>
          <w:sz w:val="36"/>
          <w:szCs w:val="36"/>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ind w:firstLine="480" w:firstLineChars="200"/>
        <w:rPr>
          <w:rFonts w:hint="eastAsia" w:ascii="楷体" w:hAnsi="楷体" w:eastAsia="楷体"/>
          <w:sz w:val="24"/>
          <w:szCs w:val="24"/>
        </w:rPr>
      </w:pPr>
      <w:r>
        <w:rPr>
          <w:rFonts w:hint="eastAsia" w:ascii="楷体" w:hAnsi="楷体" w:eastAsia="楷体"/>
          <w:sz w:val="24"/>
          <w:szCs w:val="24"/>
        </w:rPr>
        <w:t>经甲方（投资人）与乙方（苏银理财有限责任公司，以下简称“苏银理财”）协商一致，就甲方向乙方购买理财产品，达成协议如下：</w:t>
      </w:r>
    </w:p>
    <w:p>
      <w:pPr>
        <w:ind w:firstLine="482" w:firstLineChars="200"/>
        <w:rPr>
          <w:rFonts w:hint="eastAsia" w:ascii="楷体" w:hAnsi="楷体" w:eastAsia="楷体"/>
          <w:b/>
          <w:sz w:val="24"/>
          <w:szCs w:val="24"/>
        </w:rPr>
      </w:pPr>
      <w:r>
        <w:rPr>
          <w:rFonts w:hint="eastAsia" w:ascii="楷体" w:hAnsi="楷体" w:eastAsia="楷体"/>
          <w:b/>
          <w:sz w:val="24"/>
          <w:szCs w:val="24"/>
        </w:rPr>
        <w:t>一、重要声明</w:t>
      </w:r>
    </w:p>
    <w:p>
      <w:pPr>
        <w:ind w:firstLine="480" w:firstLineChars="200"/>
        <w:rPr>
          <w:rFonts w:hint="eastAsia" w:ascii="楷体" w:hAnsi="楷体" w:eastAsia="楷体"/>
          <w:sz w:val="24"/>
          <w:szCs w:val="24"/>
        </w:rPr>
      </w:pPr>
      <w:r>
        <w:rPr>
          <w:rFonts w:hint="eastAsia" w:ascii="楷体" w:hAnsi="楷体" w:eastAsia="楷体"/>
          <w:sz w:val="24"/>
          <w:szCs w:val="24"/>
        </w:rPr>
        <w:t>本投资协议书与理财产品（代理）销售协议书、理财产品说明书、风险揭示书、投资者权益须知等销售文件构成完整的不可分割的理财产品合同。乙方作为理财产品管理人建议投资者在购买对应期次理财产品（以下简称“本理财产品”）前认真阅读相关理财产品合同或咨询专业理财经理。甲方签署本投资协议（含电子渠道确认）则被视为已详细阅读过本投资协议及完整理财产品合同，并充分理解合同条款和潜在风险，自愿购买本理财产品，并遵守本理财产品合同中的各项规定。</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本理财产品不保证本金和收益。受各种市场波动因素影响，本理财产品可能存在包括但不限于政策风险、信用风险、市场风险、流动性风险、管理风险、操作风险、产品不成立风险、兑付延期风险、提前终止风险、信息传递风险、代销风险、标的资产的特别投资风险及其他风险，具体风险因素由乙方在理财产品风险揭示书中揭示。请您充分认识投资风险，谨慎投资。</w:t>
      </w:r>
    </w:p>
    <w:p>
      <w:pPr>
        <w:ind w:firstLine="482" w:firstLineChars="200"/>
        <w:rPr>
          <w:rFonts w:hint="eastAsia" w:ascii="楷体" w:hAnsi="楷体" w:eastAsia="楷体"/>
          <w:b/>
          <w:sz w:val="24"/>
          <w:szCs w:val="24"/>
        </w:rPr>
      </w:pPr>
      <w:r>
        <w:rPr>
          <w:rFonts w:hint="eastAsia" w:ascii="楷体" w:hAnsi="楷体" w:eastAsia="楷体"/>
          <w:b/>
          <w:sz w:val="24"/>
          <w:szCs w:val="24"/>
        </w:rPr>
        <w:t>二、甲方的权利义务</w:t>
      </w:r>
    </w:p>
    <w:p>
      <w:pPr>
        <w:ind w:firstLine="482" w:firstLineChars="200"/>
        <w:rPr>
          <w:rFonts w:hint="eastAsia" w:ascii="楷体" w:hAnsi="楷体" w:eastAsia="楷体"/>
          <w:b/>
          <w:bCs/>
          <w:sz w:val="24"/>
          <w:szCs w:val="24"/>
        </w:rPr>
      </w:pPr>
      <w:r>
        <w:rPr>
          <w:rFonts w:hint="eastAsia" w:ascii="楷体" w:hAnsi="楷体" w:eastAsia="楷体"/>
          <w:b/>
          <w:bCs/>
          <w:sz w:val="24"/>
          <w:szCs w:val="24"/>
        </w:rPr>
        <w:t>甲方声明：</w:t>
      </w:r>
    </w:p>
    <w:p>
      <w:pPr>
        <w:numPr>
          <w:ilvl w:val="0"/>
          <w:numId w:val="46"/>
        </w:numPr>
        <w:ind w:firstLine="480" w:firstLineChars="200"/>
        <w:rPr>
          <w:rFonts w:hint="eastAsia" w:ascii="楷体" w:hAnsi="楷体" w:eastAsia="楷体"/>
          <w:sz w:val="24"/>
          <w:szCs w:val="24"/>
        </w:rPr>
      </w:pPr>
      <w:r>
        <w:rPr>
          <w:rFonts w:hint="eastAsia" w:ascii="楷体" w:hAnsi="楷体" w:eastAsia="楷体"/>
          <w:sz w:val="24"/>
          <w:szCs w:val="24"/>
        </w:rPr>
        <w:t xml:space="preserve">甲方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甲方将配合乙方及销售服务机构开展反洗钱、反恐怖融资及非居民金融账户涉税信息尽职调查等相关法律法规要求的识别客户身份工作，及时、真实、准确、完整地提供身份信息及资金来源信息。 </w:t>
      </w:r>
    </w:p>
    <w:p>
      <w:pPr>
        <w:ind w:firstLine="480" w:firstLineChars="200"/>
        <w:rPr>
          <w:rFonts w:hint="eastAsia" w:ascii="楷体" w:hAnsi="楷体" w:eastAsia="楷体"/>
          <w:sz w:val="24"/>
          <w:szCs w:val="24"/>
        </w:rPr>
      </w:pPr>
      <w:r>
        <w:rPr>
          <w:rFonts w:hint="eastAsia" w:ascii="楷体" w:hAnsi="楷体" w:eastAsia="楷体"/>
          <w:sz w:val="24"/>
          <w:szCs w:val="24"/>
        </w:rPr>
        <w:t>2. 甲方承诺所提供的所有资料真实、完整、合法、有效，如有变更，甲方应及时到乙方或销售服务机构办理变更手续。若甲方未及时办理相关变更手续，由此导致的一切后果由甲方自行承担，乙方对此不承担任何责任。</w:t>
      </w:r>
    </w:p>
    <w:p>
      <w:pPr>
        <w:ind w:firstLine="480" w:firstLineChars="200"/>
        <w:rPr>
          <w:rFonts w:hint="eastAsia" w:ascii="楷体" w:hAnsi="楷体" w:eastAsia="楷体"/>
          <w:sz w:val="24"/>
          <w:szCs w:val="24"/>
        </w:rPr>
      </w:pPr>
      <w:r>
        <w:rPr>
          <w:rFonts w:hint="eastAsia" w:ascii="楷体" w:hAnsi="楷体" w:eastAsia="楷体"/>
          <w:sz w:val="24"/>
          <w:szCs w:val="24"/>
        </w:rPr>
        <w:t>3. 甲方购买本理财产品的行为即视为对理财产品合同的承认和接受，甲方自取得依据理财产品合同发行的理财产品份额，即成为理财产品投资者和理财产品合同当事人。甲方作为当事人并不以在理财产品合同上书面签章或签字为必要条件。</w:t>
      </w:r>
    </w:p>
    <w:p>
      <w:pPr>
        <w:ind w:firstLine="482" w:firstLineChars="200"/>
        <w:rPr>
          <w:rFonts w:hint="eastAsia" w:ascii="楷体" w:hAnsi="楷体" w:eastAsia="楷体"/>
          <w:b/>
          <w:sz w:val="24"/>
          <w:szCs w:val="24"/>
        </w:rPr>
      </w:pPr>
      <w:r>
        <w:rPr>
          <w:rFonts w:hint="eastAsia" w:ascii="楷体" w:hAnsi="楷体" w:eastAsia="楷体"/>
          <w:b/>
          <w:sz w:val="24"/>
          <w:szCs w:val="24"/>
        </w:rPr>
        <w:t>（一）甲方的权利：</w:t>
      </w:r>
    </w:p>
    <w:p>
      <w:pPr>
        <w:ind w:left="480"/>
        <w:rPr>
          <w:rFonts w:hint="eastAsia" w:ascii="楷体" w:hAnsi="楷体" w:eastAsia="楷体"/>
          <w:sz w:val="24"/>
          <w:szCs w:val="24"/>
        </w:rPr>
      </w:pPr>
      <w:r>
        <w:rPr>
          <w:rFonts w:hint="eastAsia" w:ascii="楷体" w:hAnsi="楷体" w:eastAsia="楷体"/>
          <w:sz w:val="24"/>
          <w:szCs w:val="24"/>
        </w:rPr>
        <w:t>1. 按理财产品合同的约定取得理财收益（如有）；</w:t>
      </w:r>
    </w:p>
    <w:p>
      <w:pPr>
        <w:ind w:left="480"/>
        <w:rPr>
          <w:rFonts w:hint="eastAsia" w:ascii="楷体" w:hAnsi="楷体" w:eastAsia="楷体"/>
          <w:sz w:val="24"/>
          <w:szCs w:val="24"/>
        </w:rPr>
      </w:pPr>
      <w:r>
        <w:rPr>
          <w:rFonts w:hint="eastAsia" w:ascii="楷体" w:hAnsi="楷体" w:eastAsia="楷体"/>
          <w:sz w:val="24"/>
          <w:szCs w:val="24"/>
        </w:rPr>
        <w:t>2. 按理财产品合同的约定查询获得公开披露的理财产品信息资料；</w:t>
      </w:r>
    </w:p>
    <w:p>
      <w:pPr>
        <w:ind w:left="480"/>
        <w:rPr>
          <w:rFonts w:hint="eastAsia" w:ascii="楷体" w:hAnsi="楷体" w:eastAsia="楷体"/>
          <w:sz w:val="24"/>
          <w:szCs w:val="24"/>
        </w:rPr>
      </w:pPr>
      <w:r>
        <w:rPr>
          <w:rFonts w:hint="eastAsia" w:ascii="楷体" w:hAnsi="楷体" w:eastAsia="楷体"/>
          <w:sz w:val="24"/>
          <w:szCs w:val="24"/>
        </w:rPr>
        <w:t>3. 产品终止后对清算后的理财产品资产净值按理财产品持有份额比例参与</w:t>
      </w:r>
    </w:p>
    <w:p>
      <w:pPr>
        <w:rPr>
          <w:rFonts w:hint="eastAsia" w:ascii="楷体" w:hAnsi="楷体" w:eastAsia="楷体"/>
          <w:sz w:val="24"/>
          <w:szCs w:val="24"/>
        </w:rPr>
      </w:pPr>
      <w:r>
        <w:rPr>
          <w:rFonts w:hint="eastAsia" w:ascii="楷体" w:hAnsi="楷体" w:eastAsia="楷体"/>
          <w:sz w:val="24"/>
          <w:szCs w:val="24"/>
        </w:rPr>
        <w:t>分配；</w:t>
      </w:r>
    </w:p>
    <w:p>
      <w:pPr>
        <w:rPr>
          <w:rFonts w:hint="eastAsia" w:ascii="楷体" w:hAnsi="楷体" w:eastAsia="楷体"/>
          <w:sz w:val="24"/>
          <w:szCs w:val="24"/>
        </w:rPr>
      </w:pPr>
      <w:r>
        <w:rPr>
          <w:rFonts w:hint="eastAsia" w:ascii="楷体" w:hAnsi="楷体" w:eastAsia="楷体"/>
          <w:sz w:val="24"/>
          <w:szCs w:val="24"/>
        </w:rPr>
        <w:t xml:space="preserve">    4. 要求乙方或理财产品托管人及时履行法律法规、理财产品合同所规定的义务；</w:t>
      </w:r>
    </w:p>
    <w:p>
      <w:pPr>
        <w:numPr>
          <w:ilvl w:val="0"/>
          <w:numId w:val="47"/>
        </w:numPr>
        <w:tabs>
          <w:tab w:val="left" w:pos="743"/>
        </w:tabs>
        <w:ind w:left="480"/>
        <w:rPr>
          <w:rFonts w:hint="eastAsia" w:ascii="楷体" w:hAnsi="楷体" w:eastAsia="楷体"/>
          <w:sz w:val="24"/>
          <w:szCs w:val="24"/>
        </w:rPr>
      </w:pPr>
      <w:r>
        <w:rPr>
          <w:rFonts w:hint="eastAsia" w:ascii="楷体" w:hAnsi="楷体" w:eastAsia="楷体"/>
          <w:sz w:val="24"/>
          <w:szCs w:val="24"/>
        </w:rPr>
        <w:t>对乙方、理财产品托管人损害其合法权益的行为而要求予以赔偿；</w:t>
      </w:r>
    </w:p>
    <w:p>
      <w:pPr>
        <w:numPr>
          <w:ilvl w:val="0"/>
          <w:numId w:val="47"/>
        </w:numPr>
        <w:ind w:left="480"/>
        <w:rPr>
          <w:rFonts w:hint="eastAsia" w:ascii="楷体" w:hAnsi="楷体" w:eastAsia="楷体"/>
          <w:sz w:val="24"/>
          <w:szCs w:val="24"/>
        </w:rPr>
      </w:pPr>
      <w:r>
        <w:rPr>
          <w:rFonts w:hint="eastAsia" w:ascii="楷体" w:hAnsi="楷体" w:eastAsia="楷体"/>
          <w:sz w:val="24"/>
          <w:szCs w:val="24"/>
        </w:rPr>
        <w:t>法律法规、理财产品合同规定的其它权利。</w:t>
      </w:r>
    </w:p>
    <w:p>
      <w:pPr>
        <w:ind w:firstLine="482" w:firstLineChars="200"/>
        <w:rPr>
          <w:rFonts w:hint="eastAsia" w:ascii="楷体" w:hAnsi="楷体" w:eastAsia="楷体"/>
          <w:b/>
          <w:sz w:val="24"/>
          <w:szCs w:val="24"/>
        </w:rPr>
      </w:pPr>
      <w:r>
        <w:rPr>
          <w:rFonts w:hint="eastAsia" w:ascii="楷体" w:hAnsi="楷体" w:eastAsia="楷体"/>
          <w:b/>
          <w:sz w:val="24"/>
          <w:szCs w:val="24"/>
        </w:rPr>
        <w:t>（二）甲方的义务：</w:t>
      </w:r>
    </w:p>
    <w:p>
      <w:pPr>
        <w:ind w:left="426"/>
        <w:rPr>
          <w:rFonts w:hint="eastAsia" w:ascii="楷体" w:hAnsi="楷体" w:eastAsia="楷体"/>
          <w:sz w:val="24"/>
          <w:szCs w:val="24"/>
        </w:rPr>
      </w:pPr>
      <w:r>
        <w:rPr>
          <w:rFonts w:hint="eastAsia" w:ascii="楷体" w:hAnsi="楷体" w:eastAsia="楷体"/>
          <w:sz w:val="24"/>
          <w:szCs w:val="24"/>
        </w:rPr>
        <w:t>1. 遵守有关法律法规和理财产品合同的约定；</w:t>
      </w:r>
    </w:p>
    <w:p>
      <w:pPr>
        <w:ind w:firstLine="425"/>
        <w:rPr>
          <w:rFonts w:hint="eastAsia" w:ascii="楷体" w:hAnsi="楷体" w:eastAsia="楷体"/>
          <w:sz w:val="24"/>
          <w:szCs w:val="24"/>
        </w:rPr>
      </w:pPr>
      <w:r>
        <w:rPr>
          <w:rFonts w:hint="eastAsia" w:ascii="楷体" w:hAnsi="楷体" w:eastAsia="楷体"/>
          <w:sz w:val="24"/>
          <w:szCs w:val="24"/>
        </w:rPr>
        <w:t>2. 缴纳理财产品认购、申购和赎回等事宜涉及的款项及理财产品合同规定的费用；</w:t>
      </w:r>
    </w:p>
    <w:p>
      <w:pPr>
        <w:ind w:firstLine="425"/>
        <w:rPr>
          <w:rFonts w:hint="eastAsia" w:ascii="楷体" w:hAnsi="楷体" w:eastAsia="楷体" w:cs="楷体"/>
          <w:sz w:val="24"/>
          <w:szCs w:val="24"/>
        </w:rPr>
      </w:pPr>
      <w:r>
        <w:rPr>
          <w:rFonts w:hint="eastAsia" w:ascii="楷体" w:hAnsi="楷体" w:eastAsia="楷体" w:cs="楷体"/>
          <w:sz w:val="24"/>
          <w:szCs w:val="24"/>
        </w:rPr>
        <w:t>3. 以其对理财产品的投资额为限承担本理财产品亏损或者终止的有限责任；</w:t>
      </w:r>
    </w:p>
    <w:p>
      <w:pPr>
        <w:numPr>
          <w:ilvl w:val="0"/>
          <w:numId w:val="48"/>
        </w:numPr>
        <w:ind w:left="426"/>
        <w:rPr>
          <w:rFonts w:hint="eastAsia" w:ascii="楷体" w:hAnsi="楷体" w:eastAsia="楷体"/>
          <w:sz w:val="24"/>
          <w:szCs w:val="24"/>
        </w:rPr>
      </w:pPr>
      <w:r>
        <w:rPr>
          <w:rFonts w:hint="eastAsia" w:ascii="楷体" w:hAnsi="楷体" w:eastAsia="楷体"/>
          <w:sz w:val="24"/>
          <w:szCs w:val="24"/>
        </w:rPr>
        <w:t>不从事任何有损本理财产品及本理财产品其他理财产品合同当事人合法</w:t>
      </w:r>
    </w:p>
    <w:p>
      <w:pPr>
        <w:rPr>
          <w:rFonts w:hint="eastAsia" w:ascii="楷体" w:hAnsi="楷体" w:eastAsia="楷体"/>
          <w:sz w:val="24"/>
          <w:szCs w:val="24"/>
        </w:rPr>
      </w:pPr>
      <w:r>
        <w:rPr>
          <w:rFonts w:hint="eastAsia" w:ascii="楷体" w:hAnsi="楷体" w:eastAsia="楷体"/>
          <w:sz w:val="24"/>
          <w:szCs w:val="24"/>
        </w:rPr>
        <w:t>权益的活动；</w:t>
      </w:r>
    </w:p>
    <w:p>
      <w:pPr>
        <w:numPr>
          <w:ilvl w:val="0"/>
          <w:numId w:val="48"/>
        </w:numPr>
        <w:ind w:left="426"/>
        <w:rPr>
          <w:rFonts w:hint="eastAsia" w:ascii="楷体" w:hAnsi="楷体" w:eastAsia="楷体"/>
          <w:sz w:val="24"/>
          <w:szCs w:val="24"/>
        </w:rPr>
      </w:pPr>
      <w:r>
        <w:rPr>
          <w:rFonts w:hint="eastAsia" w:ascii="楷体" w:hAnsi="楷体" w:eastAsia="楷体"/>
          <w:sz w:val="24"/>
          <w:szCs w:val="24"/>
        </w:rPr>
        <w:t>返还其在理财投资过程中取得的不当得利；</w:t>
      </w:r>
    </w:p>
    <w:p>
      <w:pPr>
        <w:numPr>
          <w:ilvl w:val="0"/>
          <w:numId w:val="48"/>
        </w:numPr>
        <w:ind w:left="426"/>
        <w:rPr>
          <w:rFonts w:hint="eastAsia" w:ascii="楷体" w:hAnsi="楷体" w:eastAsia="楷体"/>
          <w:sz w:val="24"/>
          <w:szCs w:val="24"/>
        </w:rPr>
      </w:pPr>
      <w:r>
        <w:rPr>
          <w:rFonts w:hint="eastAsia" w:ascii="楷体" w:hAnsi="楷体" w:eastAsia="楷体"/>
          <w:sz w:val="24"/>
          <w:szCs w:val="24"/>
        </w:rPr>
        <w:t>法律法规以及理财产品合同所规定的其它义务。</w:t>
      </w:r>
    </w:p>
    <w:p>
      <w:pPr>
        <w:ind w:firstLine="482" w:firstLineChars="200"/>
        <w:rPr>
          <w:rFonts w:hint="eastAsia" w:ascii="楷体" w:hAnsi="楷体" w:eastAsia="楷体"/>
          <w:b/>
          <w:sz w:val="24"/>
          <w:szCs w:val="24"/>
        </w:rPr>
      </w:pPr>
      <w:r>
        <w:rPr>
          <w:rFonts w:hint="eastAsia" w:ascii="楷体" w:hAnsi="楷体" w:eastAsia="楷体"/>
          <w:b/>
          <w:sz w:val="24"/>
          <w:szCs w:val="24"/>
        </w:rPr>
        <w:t>三、乙方的权利义务</w:t>
      </w:r>
    </w:p>
    <w:p>
      <w:pPr>
        <w:ind w:firstLine="482" w:firstLineChars="200"/>
        <w:rPr>
          <w:rFonts w:hint="eastAsia" w:ascii="楷体" w:hAnsi="楷体" w:eastAsia="楷体"/>
          <w:b/>
          <w:sz w:val="24"/>
          <w:szCs w:val="24"/>
        </w:rPr>
      </w:pPr>
      <w:r>
        <w:rPr>
          <w:rFonts w:hint="eastAsia" w:ascii="楷体" w:hAnsi="楷体" w:eastAsia="楷体"/>
          <w:b/>
          <w:sz w:val="24"/>
          <w:szCs w:val="24"/>
        </w:rPr>
        <w:t>（一）乙方的权利：</w:t>
      </w:r>
    </w:p>
    <w:p>
      <w:pPr>
        <w:ind w:firstLine="425"/>
        <w:rPr>
          <w:rFonts w:hint="eastAsia" w:ascii="楷体" w:hAnsi="楷体" w:eastAsia="楷体"/>
          <w:sz w:val="24"/>
          <w:szCs w:val="24"/>
        </w:rPr>
      </w:pPr>
      <w:r>
        <w:rPr>
          <w:rFonts w:hint="eastAsia" w:ascii="楷体" w:hAnsi="楷体" w:eastAsia="楷体"/>
          <w:sz w:val="24"/>
          <w:szCs w:val="24"/>
        </w:rPr>
        <w:t>1. 乙方按照法律法规和《理财产品说明书》及《风险揭示书》的约定，诚实信用、谨慎勤勉地实施投资管理行为，以专业技能管理理财产品资产，依法维护理财产品全体投资者的利益；</w:t>
      </w:r>
    </w:p>
    <w:p>
      <w:pPr>
        <w:numPr>
          <w:ilvl w:val="0"/>
          <w:numId w:val="49"/>
        </w:numPr>
        <w:ind w:left="426"/>
        <w:rPr>
          <w:rFonts w:hint="eastAsia" w:ascii="楷体" w:hAnsi="楷体" w:eastAsia="楷体"/>
          <w:sz w:val="24"/>
          <w:szCs w:val="24"/>
        </w:rPr>
      </w:pPr>
      <w:r>
        <w:rPr>
          <w:rFonts w:hint="eastAsia" w:ascii="楷体" w:hAnsi="楷体" w:eastAsia="楷体"/>
          <w:sz w:val="24"/>
          <w:szCs w:val="24"/>
        </w:rPr>
        <w:t>根据法律法规和理财产品合同的约定，制订、修改并公布有关理财募集、</w:t>
      </w:r>
    </w:p>
    <w:p>
      <w:pPr>
        <w:rPr>
          <w:rFonts w:hint="eastAsia" w:ascii="楷体" w:hAnsi="楷体" w:eastAsia="楷体"/>
          <w:sz w:val="24"/>
          <w:szCs w:val="24"/>
        </w:rPr>
      </w:pPr>
      <w:r>
        <w:rPr>
          <w:rFonts w:hint="eastAsia" w:ascii="楷体" w:hAnsi="楷体" w:eastAsia="楷体"/>
          <w:sz w:val="24"/>
          <w:szCs w:val="24"/>
        </w:rPr>
        <w:t>认购、申购、赎回、非交易过户、冻结、收益分配等方面的业务规则；</w:t>
      </w:r>
    </w:p>
    <w:p>
      <w:pPr>
        <w:numPr>
          <w:ilvl w:val="0"/>
          <w:numId w:val="49"/>
        </w:numPr>
        <w:ind w:left="426"/>
        <w:rPr>
          <w:rFonts w:hint="eastAsia" w:ascii="楷体" w:hAnsi="楷体" w:eastAsia="楷体"/>
          <w:sz w:val="24"/>
          <w:szCs w:val="24"/>
        </w:rPr>
      </w:pPr>
      <w:r>
        <w:rPr>
          <w:rFonts w:hint="eastAsia" w:ascii="楷体" w:hAnsi="楷体" w:eastAsia="楷体"/>
          <w:sz w:val="24"/>
          <w:szCs w:val="24"/>
        </w:rPr>
        <w:t>根据法律法规和理财产品合同的约定决定本理财产品的相关费率结构和</w:t>
      </w:r>
    </w:p>
    <w:p>
      <w:pPr>
        <w:rPr>
          <w:rFonts w:hint="eastAsia" w:ascii="楷体" w:hAnsi="楷体" w:eastAsia="楷体"/>
          <w:sz w:val="24"/>
          <w:szCs w:val="24"/>
        </w:rPr>
      </w:pPr>
      <w:r>
        <w:rPr>
          <w:rFonts w:hint="eastAsia" w:ascii="楷体" w:hAnsi="楷体" w:eastAsia="楷体"/>
          <w:sz w:val="24"/>
          <w:szCs w:val="24"/>
        </w:rPr>
        <w:t>收费方式，获得理财产品管理费，收取超额业绩报酬（如有）及其它事先批准或公告的合理费用以及法律法规规定的其它费用；</w:t>
      </w:r>
    </w:p>
    <w:p>
      <w:pPr>
        <w:numPr>
          <w:ilvl w:val="0"/>
          <w:numId w:val="49"/>
        </w:numPr>
        <w:ind w:left="426"/>
        <w:rPr>
          <w:rFonts w:hint="eastAsia" w:ascii="楷体" w:hAnsi="楷体" w:eastAsia="楷体"/>
          <w:sz w:val="24"/>
          <w:szCs w:val="24"/>
        </w:rPr>
      </w:pPr>
      <w:r>
        <w:rPr>
          <w:rFonts w:hint="eastAsia" w:ascii="楷体" w:hAnsi="楷体" w:eastAsia="楷体"/>
          <w:sz w:val="24"/>
          <w:szCs w:val="24"/>
        </w:rPr>
        <w:t>依据法律法规和理财产品合同的约定监督理财产品托管人，如认为理财</w:t>
      </w:r>
    </w:p>
    <w:p>
      <w:pPr>
        <w:rPr>
          <w:rFonts w:hint="eastAsia" w:ascii="楷体" w:hAnsi="楷体" w:eastAsia="楷体"/>
          <w:sz w:val="24"/>
          <w:szCs w:val="24"/>
        </w:rPr>
      </w:pPr>
      <w:r>
        <w:rPr>
          <w:rFonts w:hint="eastAsia" w:ascii="楷体" w:hAnsi="楷体" w:eastAsia="楷体"/>
          <w:sz w:val="24"/>
          <w:szCs w:val="24"/>
        </w:rPr>
        <w:t>产品托管人违反了法律法规或理财产品合同约定，对理财产品资产、其它理财产品合同当事人的利益造成重大损失的，应及时呈报监管机构，以及采取其它必要措施以保护本理财产品及相关理财产品合同当事人的利益；</w:t>
      </w:r>
    </w:p>
    <w:p>
      <w:pPr>
        <w:numPr>
          <w:ilvl w:val="0"/>
          <w:numId w:val="49"/>
        </w:numPr>
        <w:ind w:left="426"/>
        <w:rPr>
          <w:rFonts w:hint="eastAsia" w:ascii="楷体" w:hAnsi="楷体" w:eastAsia="楷体"/>
          <w:sz w:val="24"/>
          <w:szCs w:val="24"/>
        </w:rPr>
      </w:pPr>
      <w:r>
        <w:rPr>
          <w:rFonts w:hint="eastAsia" w:ascii="楷体" w:hAnsi="楷体" w:eastAsia="楷体"/>
          <w:sz w:val="24"/>
          <w:szCs w:val="24"/>
        </w:rPr>
        <w:t>在法律法规允许的前提下，为理财产品的利益依法为理财产品进行融资；</w:t>
      </w:r>
    </w:p>
    <w:p>
      <w:pPr>
        <w:numPr>
          <w:ilvl w:val="0"/>
          <w:numId w:val="49"/>
        </w:numPr>
        <w:ind w:left="426"/>
        <w:rPr>
          <w:rFonts w:hint="eastAsia" w:ascii="楷体" w:hAnsi="楷体" w:eastAsia="楷体"/>
          <w:sz w:val="24"/>
          <w:szCs w:val="24"/>
        </w:rPr>
      </w:pPr>
      <w:r>
        <w:rPr>
          <w:rFonts w:hint="eastAsia" w:ascii="楷体" w:hAnsi="楷体" w:eastAsia="楷体"/>
          <w:sz w:val="24"/>
          <w:szCs w:val="24"/>
        </w:rPr>
        <w:t>按照法律法规，代表理财产品对被投资企业行使股东权利，代表理财产</w:t>
      </w:r>
    </w:p>
    <w:p>
      <w:pPr>
        <w:rPr>
          <w:rFonts w:hint="eastAsia" w:ascii="楷体" w:hAnsi="楷体" w:eastAsia="楷体"/>
          <w:sz w:val="24"/>
          <w:szCs w:val="24"/>
        </w:rPr>
      </w:pPr>
      <w:r>
        <w:rPr>
          <w:rFonts w:hint="eastAsia" w:ascii="楷体" w:hAnsi="楷体" w:eastAsia="楷体"/>
          <w:sz w:val="24"/>
          <w:szCs w:val="24"/>
        </w:rPr>
        <w:t>品行使因投资于其它证券所产生的权利；</w:t>
      </w:r>
    </w:p>
    <w:p>
      <w:pPr>
        <w:ind w:firstLine="425"/>
        <w:rPr>
          <w:rFonts w:hint="eastAsia" w:ascii="楷体" w:hAnsi="楷体" w:eastAsia="楷体"/>
          <w:sz w:val="24"/>
          <w:szCs w:val="24"/>
        </w:rPr>
      </w:pPr>
      <w:r>
        <w:rPr>
          <w:rFonts w:hint="eastAsia" w:ascii="楷体" w:hAnsi="楷体" w:eastAsia="楷体"/>
          <w:sz w:val="24"/>
          <w:szCs w:val="24"/>
        </w:rPr>
        <w:t>7. 以乙方名义，代表理财份额持有人利益行使诉讼权利或者实施其他法律行为；</w:t>
      </w:r>
    </w:p>
    <w:p>
      <w:pPr>
        <w:numPr>
          <w:ilvl w:val="0"/>
          <w:numId w:val="50"/>
        </w:numPr>
        <w:ind w:left="426"/>
        <w:rPr>
          <w:rFonts w:hint="eastAsia" w:ascii="楷体" w:hAnsi="楷体" w:eastAsia="楷体"/>
          <w:sz w:val="24"/>
          <w:szCs w:val="24"/>
        </w:rPr>
      </w:pPr>
      <w:r>
        <w:rPr>
          <w:rFonts w:hint="eastAsia" w:ascii="楷体" w:hAnsi="楷体" w:eastAsia="楷体"/>
          <w:sz w:val="24"/>
          <w:szCs w:val="24"/>
        </w:rPr>
        <w:t>选择、更换律师、审计师、证券经纪商或其他为理财产品提供服务的外</w:t>
      </w:r>
    </w:p>
    <w:p>
      <w:pPr>
        <w:rPr>
          <w:rFonts w:hint="eastAsia" w:ascii="楷体" w:hAnsi="楷体" w:eastAsia="楷体"/>
          <w:sz w:val="24"/>
          <w:szCs w:val="24"/>
        </w:rPr>
      </w:pPr>
      <w:r>
        <w:rPr>
          <w:rFonts w:hint="eastAsia" w:ascii="楷体" w:hAnsi="楷体" w:eastAsia="楷体"/>
          <w:sz w:val="24"/>
          <w:szCs w:val="24"/>
        </w:rPr>
        <w:t>部机构并确定有关费率；</w:t>
      </w:r>
    </w:p>
    <w:p>
      <w:pPr>
        <w:numPr>
          <w:ilvl w:val="0"/>
          <w:numId w:val="50"/>
        </w:numPr>
        <w:ind w:left="426"/>
        <w:rPr>
          <w:rFonts w:hint="eastAsia" w:ascii="楷体" w:hAnsi="楷体" w:eastAsia="楷体"/>
          <w:sz w:val="24"/>
          <w:szCs w:val="24"/>
        </w:rPr>
      </w:pPr>
      <w:r>
        <w:rPr>
          <w:rFonts w:hint="eastAsia" w:ascii="楷体" w:hAnsi="楷体" w:eastAsia="楷体"/>
          <w:sz w:val="24"/>
          <w:szCs w:val="24"/>
        </w:rPr>
        <w:t>法律法规、理财产品合同以及依据理财产品合同制订的其它法律文件所</w:t>
      </w:r>
    </w:p>
    <w:p>
      <w:pPr>
        <w:rPr>
          <w:rFonts w:hint="eastAsia" w:ascii="楷体" w:hAnsi="楷体" w:eastAsia="楷体"/>
          <w:sz w:val="24"/>
          <w:szCs w:val="24"/>
        </w:rPr>
      </w:pPr>
      <w:r>
        <w:rPr>
          <w:rFonts w:hint="eastAsia" w:ascii="楷体" w:hAnsi="楷体" w:eastAsia="楷体"/>
          <w:sz w:val="24"/>
          <w:szCs w:val="24"/>
        </w:rPr>
        <w:t>规定的其它权利。</w:t>
      </w:r>
    </w:p>
    <w:p>
      <w:pPr>
        <w:ind w:firstLine="602" w:firstLineChars="250"/>
        <w:rPr>
          <w:rFonts w:hint="eastAsia" w:ascii="楷体" w:hAnsi="楷体" w:eastAsia="楷体"/>
          <w:b/>
          <w:sz w:val="24"/>
          <w:szCs w:val="24"/>
        </w:rPr>
      </w:pPr>
      <w:r>
        <w:rPr>
          <w:rFonts w:hint="eastAsia" w:ascii="楷体" w:hAnsi="楷体" w:eastAsia="楷体"/>
          <w:b/>
          <w:sz w:val="24"/>
          <w:szCs w:val="24"/>
        </w:rPr>
        <w:t>（二）乙方的义务：</w:t>
      </w:r>
    </w:p>
    <w:p>
      <w:pPr>
        <w:ind w:firstLine="425"/>
        <w:rPr>
          <w:rFonts w:hint="eastAsia" w:ascii="楷体" w:hAnsi="楷体" w:eastAsia="楷体"/>
          <w:sz w:val="24"/>
          <w:szCs w:val="24"/>
        </w:rPr>
      </w:pPr>
      <w:r>
        <w:rPr>
          <w:rFonts w:hint="eastAsia" w:ascii="楷体" w:hAnsi="楷体" w:eastAsia="楷体"/>
          <w:sz w:val="24"/>
          <w:szCs w:val="24"/>
        </w:rPr>
        <w:t>1. 遵守法律法规和理财产品合同的约定；</w:t>
      </w:r>
    </w:p>
    <w:p>
      <w:pPr>
        <w:ind w:firstLine="425"/>
        <w:rPr>
          <w:rFonts w:hint="eastAsia" w:ascii="楷体" w:hAnsi="楷体" w:eastAsia="楷体"/>
          <w:sz w:val="24"/>
          <w:szCs w:val="24"/>
        </w:rPr>
      </w:pPr>
      <w:r>
        <w:rPr>
          <w:rFonts w:hint="eastAsia" w:ascii="楷体" w:hAnsi="楷体" w:eastAsia="楷体"/>
          <w:sz w:val="24"/>
          <w:szCs w:val="24"/>
        </w:rPr>
        <w:t>2. 恪尽职守，依照诚实信用、勤勉尽责的原则，谨慎、有效管理和运用理财资产；</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充分考虑本理财产品的特点，设置相应的部门并配备足够的具有专业资</w:t>
      </w:r>
    </w:p>
    <w:p>
      <w:pPr>
        <w:rPr>
          <w:rFonts w:hint="eastAsia" w:ascii="楷体" w:hAnsi="楷体" w:eastAsia="楷体"/>
          <w:sz w:val="24"/>
          <w:szCs w:val="24"/>
        </w:rPr>
      </w:pPr>
      <w:r>
        <w:rPr>
          <w:rFonts w:hint="eastAsia" w:ascii="楷体" w:hAnsi="楷体" w:eastAsia="楷体"/>
          <w:sz w:val="24"/>
          <w:szCs w:val="24"/>
        </w:rPr>
        <w:t>格的人员进行理财投资分析、决策，以专业化的经营方式管理和运作理财资产，防范和减少风险；</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按照法律、行政法规、监管规定和理财产品投资协议、销售协议的约定，</w:t>
      </w:r>
    </w:p>
    <w:p>
      <w:pPr>
        <w:rPr>
          <w:rFonts w:hint="eastAsia" w:ascii="楷体" w:hAnsi="楷体" w:eastAsia="楷体"/>
          <w:sz w:val="24"/>
          <w:szCs w:val="24"/>
        </w:rPr>
      </w:pPr>
      <w:r>
        <w:rPr>
          <w:rFonts w:hint="eastAsia" w:ascii="楷体" w:hAnsi="楷体" w:eastAsia="楷体"/>
          <w:sz w:val="24"/>
          <w:szCs w:val="24"/>
        </w:rPr>
        <w:t>办理理财产品的认（申）购、赎回，不得擅自拒绝接受投资者的认（申）购、赎回申请。暂停或者开放认（申）购、赎回等业务的，应当按照相关规定和投资协议、销售协议约定说明具体原因和依据；</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按照法律法规、监管规定、理财产品投资协议书、理财产品说明书、理</w:t>
      </w:r>
    </w:p>
    <w:p>
      <w:pPr>
        <w:rPr>
          <w:rFonts w:hint="eastAsia" w:ascii="楷体" w:hAnsi="楷体" w:eastAsia="楷体"/>
          <w:sz w:val="24"/>
          <w:szCs w:val="24"/>
        </w:rPr>
      </w:pPr>
      <w:r>
        <w:rPr>
          <w:rFonts w:hint="eastAsia" w:ascii="楷体" w:hAnsi="楷体" w:eastAsia="楷体"/>
          <w:sz w:val="24"/>
          <w:szCs w:val="24"/>
        </w:rPr>
        <w:t>财产品（代理）销售协议书等的约定收取销售费用，并如实核算、记账；未经载明，不得对不同投资者适用不同费率；</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建立健全内部控制制度，保证乙方的固有财产和理财财产相互独立，对所管理的不同理财财产分别管理、分别记账，进行投资；</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除依据法律法规和理财产品合同的约定外，不得利用理财资产为乙方自身及任何第三方谋取利益；</w:t>
      </w:r>
    </w:p>
    <w:p>
      <w:pPr>
        <w:numPr>
          <w:ilvl w:val="0"/>
          <w:numId w:val="51"/>
        </w:numPr>
        <w:tabs>
          <w:tab w:val="right" w:pos="7881"/>
        </w:tabs>
        <w:ind w:firstLine="425"/>
        <w:rPr>
          <w:rFonts w:hint="eastAsia" w:ascii="楷体" w:hAnsi="楷体" w:eastAsia="楷体"/>
          <w:sz w:val="24"/>
          <w:szCs w:val="24"/>
        </w:rPr>
      </w:pPr>
      <w:r>
        <w:rPr>
          <w:rFonts w:hint="eastAsia" w:ascii="楷体" w:hAnsi="楷体" w:eastAsia="楷体"/>
          <w:sz w:val="24"/>
          <w:szCs w:val="24"/>
        </w:rPr>
        <w:t>除依据法律法规和理财产品合同的约定外，乙方不得委托第三人管</w:t>
      </w:r>
      <w:r>
        <w:rPr>
          <w:rFonts w:hint="eastAsia" w:ascii="楷体" w:hAnsi="楷体" w:eastAsia="楷体"/>
          <w:sz w:val="24"/>
          <w:szCs w:val="24"/>
        </w:rPr>
        <w:tab/>
      </w:r>
      <w:r>
        <w:rPr>
          <w:rFonts w:hint="eastAsia" w:ascii="楷体" w:hAnsi="楷体" w:eastAsia="楷体"/>
          <w:sz w:val="24"/>
          <w:szCs w:val="24"/>
        </w:rPr>
        <w:t>理、运作理财资产；</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依照法律、行政法规、规章规定和理财产品合同约定，接受理财产品托</w:t>
      </w:r>
    </w:p>
    <w:p>
      <w:pPr>
        <w:rPr>
          <w:rFonts w:hint="eastAsia" w:ascii="楷体" w:hAnsi="楷体" w:eastAsia="楷体"/>
          <w:sz w:val="24"/>
          <w:szCs w:val="24"/>
        </w:rPr>
      </w:pPr>
      <w:r>
        <w:rPr>
          <w:rFonts w:hint="eastAsia" w:ascii="楷体" w:hAnsi="楷体" w:eastAsia="楷体"/>
          <w:sz w:val="24"/>
          <w:szCs w:val="24"/>
        </w:rPr>
        <w:t>管人对理财产品投资运作的监督；</w:t>
      </w:r>
    </w:p>
    <w:p>
      <w:pPr>
        <w:numPr>
          <w:ilvl w:val="0"/>
          <w:numId w:val="51"/>
        </w:numPr>
        <w:ind w:firstLine="425"/>
        <w:rPr>
          <w:rFonts w:hint="eastAsia" w:ascii="楷体" w:hAnsi="楷体" w:eastAsia="楷体"/>
          <w:sz w:val="24"/>
          <w:szCs w:val="24"/>
        </w:rPr>
      </w:pPr>
      <w:r>
        <w:rPr>
          <w:rFonts w:hint="eastAsia" w:ascii="楷体" w:hAnsi="楷体" w:eastAsia="楷体"/>
          <w:sz w:val="24"/>
          <w:szCs w:val="24"/>
        </w:rPr>
        <w:t>采取所有必要措施对理财产品托管人违反法律法规、理财产品合同和托管协议的行为进行纠正；</w:t>
      </w:r>
    </w:p>
    <w:p>
      <w:pPr>
        <w:numPr>
          <w:ilvl w:val="0"/>
          <w:numId w:val="51"/>
        </w:numPr>
        <w:adjustRightInd w:val="0"/>
        <w:snapToGrid w:val="0"/>
        <w:ind w:firstLine="425"/>
        <w:rPr>
          <w:rFonts w:hint="eastAsia" w:ascii="楷体" w:hAnsi="楷体" w:eastAsia="楷体"/>
          <w:sz w:val="24"/>
          <w:szCs w:val="24"/>
        </w:rPr>
      </w:pPr>
      <w:r>
        <w:rPr>
          <w:rFonts w:hint="eastAsia" w:ascii="楷体" w:hAnsi="楷体" w:eastAsia="楷体"/>
          <w:sz w:val="24"/>
          <w:szCs w:val="24"/>
        </w:rPr>
        <w:t>按规定计算并披露理财产品的资产净值和份额净值；</w:t>
      </w:r>
    </w:p>
    <w:p>
      <w:pPr>
        <w:numPr>
          <w:ilvl w:val="0"/>
          <w:numId w:val="51"/>
        </w:numPr>
        <w:tabs>
          <w:tab w:val="left" w:pos="993"/>
        </w:tabs>
        <w:ind w:firstLine="425"/>
        <w:rPr>
          <w:rFonts w:hint="eastAsia" w:ascii="楷体" w:hAnsi="楷体" w:eastAsia="楷体"/>
          <w:sz w:val="24"/>
          <w:szCs w:val="24"/>
        </w:rPr>
      </w:pPr>
      <w:r>
        <w:rPr>
          <w:rFonts w:hint="eastAsia" w:ascii="楷体" w:hAnsi="楷体" w:eastAsia="楷体"/>
          <w:sz w:val="24"/>
          <w:szCs w:val="24"/>
        </w:rPr>
        <w:t>严格按照法律法规和理财产品合同的约定履行信息披露及报告义务；</w:t>
      </w:r>
    </w:p>
    <w:p>
      <w:pPr>
        <w:numPr>
          <w:ilvl w:val="0"/>
          <w:numId w:val="51"/>
        </w:numPr>
        <w:tabs>
          <w:tab w:val="left" w:pos="993"/>
        </w:tabs>
        <w:ind w:firstLine="425"/>
        <w:rPr>
          <w:rFonts w:hint="eastAsia" w:ascii="楷体" w:hAnsi="楷体" w:eastAsia="楷体"/>
          <w:sz w:val="24"/>
          <w:szCs w:val="24"/>
        </w:rPr>
      </w:pPr>
      <w:r>
        <w:rPr>
          <w:rFonts w:hint="eastAsia" w:ascii="楷体" w:hAnsi="楷体" w:eastAsia="楷体"/>
          <w:sz w:val="24"/>
          <w:szCs w:val="24"/>
        </w:rPr>
        <w:t>根据相关法律、法规严格履行投资者信息保密责任，除监管机构或司</w:t>
      </w:r>
    </w:p>
    <w:p>
      <w:pPr>
        <w:tabs>
          <w:tab w:val="left" w:pos="993"/>
        </w:tabs>
        <w:rPr>
          <w:rFonts w:hint="eastAsia" w:ascii="楷体" w:hAnsi="楷体" w:eastAsia="楷体" w:cs="楷体"/>
          <w:sz w:val="24"/>
          <w:szCs w:val="24"/>
        </w:rPr>
      </w:pPr>
      <w:r>
        <w:rPr>
          <w:rFonts w:hint="eastAsia" w:ascii="楷体" w:hAnsi="楷体" w:eastAsia="楷体"/>
          <w:sz w:val="24"/>
          <w:szCs w:val="24"/>
        </w:rPr>
        <w:t>法机关等有权机构及本协议另有约定外，不得对其他第三方提供任何投资者信息；</w:t>
      </w:r>
      <w:r>
        <w:rPr>
          <w:rFonts w:hint="eastAsia" w:ascii="楷体" w:hAnsi="楷体" w:eastAsia="楷体" w:cs="楷体"/>
          <w:sz w:val="24"/>
          <w:szCs w:val="24"/>
        </w:rPr>
        <w:t>在乙方办理本协议项下相关事项所必需的情况下，甲方同意并授权乙方向乙方或乙方委托的专业咨询机构提供乙方获取的甲方信息。乙方承诺将向有关第三方明确其保护甲方信息的职责并要求第三方承担相应的保密义务。</w:t>
      </w:r>
    </w:p>
    <w:p>
      <w:pPr>
        <w:tabs>
          <w:tab w:val="left" w:pos="993"/>
        </w:tabs>
        <w:rPr>
          <w:rFonts w:hint="eastAsia" w:ascii="楷体" w:hAnsi="楷体" w:eastAsia="楷体" w:cs="楷体"/>
          <w:sz w:val="24"/>
          <w:szCs w:val="24"/>
        </w:rPr>
      </w:pPr>
      <w:r>
        <w:rPr>
          <w:rFonts w:hint="eastAsia" w:ascii="楷体" w:hAnsi="楷体" w:eastAsia="楷体" w:cs="楷体"/>
          <w:sz w:val="24"/>
          <w:szCs w:val="24"/>
        </w:rPr>
        <w:t xml:space="preserve">    无论本协议终止还是发生各种突发情况，本协议项下乙方和有关第三方的保密义务并不因此终止或中断；</w:t>
      </w:r>
    </w:p>
    <w:p>
      <w:pPr>
        <w:numPr>
          <w:ilvl w:val="0"/>
          <w:numId w:val="51"/>
        </w:numPr>
        <w:tabs>
          <w:tab w:val="left" w:pos="993"/>
        </w:tabs>
        <w:ind w:firstLine="425"/>
        <w:rPr>
          <w:rFonts w:hint="eastAsia" w:ascii="楷体" w:hAnsi="楷体" w:eastAsia="楷体"/>
          <w:sz w:val="24"/>
          <w:szCs w:val="24"/>
        </w:rPr>
      </w:pPr>
      <w:r>
        <w:rPr>
          <w:rFonts w:hint="eastAsia" w:ascii="楷体" w:hAnsi="楷体" w:eastAsia="楷体"/>
          <w:sz w:val="24"/>
          <w:szCs w:val="24"/>
        </w:rPr>
        <w:t>依据理财产品合同约定制订理财收益分配方案并向本理财产品的理财</w:t>
      </w:r>
    </w:p>
    <w:p>
      <w:pPr>
        <w:tabs>
          <w:tab w:val="left" w:pos="993"/>
        </w:tabs>
        <w:rPr>
          <w:rFonts w:hint="eastAsia" w:ascii="楷体" w:hAnsi="楷体" w:eastAsia="楷体"/>
          <w:sz w:val="24"/>
          <w:szCs w:val="24"/>
        </w:rPr>
      </w:pPr>
      <w:r>
        <w:rPr>
          <w:rFonts w:hint="eastAsia" w:ascii="楷体" w:hAnsi="楷体" w:eastAsia="楷体"/>
          <w:sz w:val="24"/>
          <w:szCs w:val="24"/>
        </w:rPr>
        <w:t>份额持有人分配理财收益（如有）；</w:t>
      </w:r>
    </w:p>
    <w:p>
      <w:pPr>
        <w:numPr>
          <w:ilvl w:val="0"/>
          <w:numId w:val="51"/>
        </w:numPr>
        <w:tabs>
          <w:tab w:val="left" w:pos="993"/>
        </w:tabs>
        <w:ind w:firstLine="425"/>
        <w:rPr>
          <w:rFonts w:hint="eastAsia" w:ascii="楷体" w:hAnsi="楷体" w:eastAsia="楷体"/>
          <w:sz w:val="24"/>
          <w:szCs w:val="24"/>
        </w:rPr>
      </w:pPr>
      <w:r>
        <w:rPr>
          <w:rFonts w:hint="eastAsia" w:ascii="楷体" w:hAnsi="楷体" w:eastAsia="楷体"/>
          <w:sz w:val="24"/>
          <w:szCs w:val="24"/>
        </w:rPr>
        <w:t>监督理财产品托管人按法律法规和理财产品合同约定履行自己的义务。理财产品托管人因过错造成理财资产损失时，乙方应为理财利益向理财产品托管人追索，除法律法规另有规定外，不承担连带责任；</w:t>
      </w:r>
    </w:p>
    <w:p>
      <w:pPr>
        <w:numPr>
          <w:ilvl w:val="0"/>
          <w:numId w:val="51"/>
        </w:numPr>
        <w:tabs>
          <w:tab w:val="left" w:pos="993"/>
        </w:tabs>
        <w:ind w:firstLine="425"/>
        <w:rPr>
          <w:rFonts w:hint="eastAsia" w:ascii="楷体" w:hAnsi="楷体" w:eastAsia="楷体"/>
          <w:sz w:val="24"/>
          <w:szCs w:val="24"/>
        </w:rPr>
      </w:pPr>
      <w:r>
        <w:rPr>
          <w:rFonts w:hint="eastAsia" w:ascii="楷体" w:hAnsi="楷体" w:eastAsia="楷体"/>
          <w:sz w:val="24"/>
          <w:szCs w:val="24"/>
        </w:rPr>
        <w:t>不从事任何有损本理财产品其他当事人合法权益的活动。</w:t>
      </w:r>
    </w:p>
    <w:p>
      <w:pPr>
        <w:ind w:firstLine="482" w:firstLineChars="200"/>
        <w:rPr>
          <w:rFonts w:hint="eastAsia" w:ascii="楷体" w:hAnsi="楷体" w:eastAsia="楷体"/>
          <w:b/>
          <w:sz w:val="24"/>
          <w:szCs w:val="24"/>
        </w:rPr>
      </w:pPr>
      <w:r>
        <w:rPr>
          <w:rFonts w:hint="eastAsia" w:ascii="楷体" w:hAnsi="楷体" w:eastAsia="楷体"/>
          <w:b/>
          <w:sz w:val="24"/>
          <w:szCs w:val="24"/>
        </w:rPr>
        <w:t>四、理财产品的投资管理</w:t>
      </w:r>
    </w:p>
    <w:p>
      <w:pPr>
        <w:ind w:firstLine="480" w:firstLineChars="200"/>
        <w:rPr>
          <w:rFonts w:hint="eastAsia" w:ascii="楷体" w:hAnsi="楷体" w:eastAsia="楷体"/>
          <w:sz w:val="24"/>
          <w:szCs w:val="24"/>
        </w:rPr>
      </w:pPr>
      <w:r>
        <w:rPr>
          <w:rFonts w:hint="eastAsia" w:ascii="楷体" w:hAnsi="楷体" w:eastAsia="楷体"/>
          <w:sz w:val="24"/>
          <w:szCs w:val="24"/>
        </w:rPr>
        <w:t>1. 本理财产品的产品类型、投资范围、投资比例等产品具体要素和风险信息详见产品说明书、风险揭示书、投资者权益须知等销售文件。</w:t>
      </w:r>
    </w:p>
    <w:p>
      <w:pPr>
        <w:ind w:firstLine="480" w:firstLineChars="200"/>
        <w:rPr>
          <w:rFonts w:hint="eastAsia" w:ascii="楷体" w:hAnsi="楷体" w:eastAsia="楷体"/>
          <w:sz w:val="24"/>
          <w:szCs w:val="24"/>
        </w:rPr>
      </w:pPr>
      <w:r>
        <w:rPr>
          <w:rFonts w:hint="eastAsia" w:ascii="楷体" w:hAnsi="楷体" w:eastAsia="楷体"/>
          <w:sz w:val="24"/>
          <w:szCs w:val="24"/>
        </w:rPr>
        <w:t>2. 甲方已清楚知悉并同意本协议项下理财产品的投资管理由乙方负责实施。</w:t>
      </w:r>
    </w:p>
    <w:p>
      <w:pPr>
        <w:ind w:firstLine="480" w:firstLineChars="200"/>
        <w:rPr>
          <w:rFonts w:hint="eastAsia" w:ascii="楷体" w:hAnsi="楷体" w:eastAsia="楷体"/>
          <w:sz w:val="24"/>
          <w:szCs w:val="24"/>
        </w:rPr>
      </w:pPr>
      <w:r>
        <w:rPr>
          <w:rFonts w:hint="eastAsia" w:ascii="楷体" w:hAnsi="楷体" w:eastAsia="楷体"/>
          <w:sz w:val="24"/>
          <w:szCs w:val="24"/>
        </w:rPr>
        <w:t>3. 乙方按照法律法规和产品说明书的约定诚实信用、谨慎勤勉地实施投资管理行为，以专业技能管理理财产品资产，依法维护理财产品全体投资者的利益。</w:t>
      </w:r>
    </w:p>
    <w:p>
      <w:pPr>
        <w:ind w:firstLine="482" w:firstLineChars="200"/>
        <w:rPr>
          <w:rFonts w:hint="eastAsia" w:ascii="楷体" w:hAnsi="楷体" w:eastAsia="楷体"/>
          <w:sz w:val="24"/>
          <w:szCs w:val="24"/>
        </w:rPr>
      </w:pPr>
      <w:r>
        <w:rPr>
          <w:rFonts w:hint="eastAsia" w:ascii="楷体" w:hAnsi="楷体" w:eastAsia="楷体"/>
          <w:b/>
          <w:bCs/>
          <w:sz w:val="24"/>
          <w:szCs w:val="24"/>
        </w:rPr>
        <w:t>4. 乙方不对任何理财产品的本金或收益做出任何承诺或保证。</w:t>
      </w:r>
    </w:p>
    <w:p>
      <w:pPr>
        <w:ind w:firstLine="480" w:firstLineChars="200"/>
        <w:rPr>
          <w:rFonts w:hint="eastAsia" w:ascii="楷体" w:hAnsi="楷体" w:eastAsia="楷体"/>
          <w:sz w:val="24"/>
          <w:szCs w:val="24"/>
        </w:rPr>
      </w:pPr>
      <w:r>
        <w:rPr>
          <w:rFonts w:hint="eastAsia" w:ascii="楷体" w:hAnsi="楷体" w:eastAsia="楷体"/>
          <w:sz w:val="24"/>
          <w:szCs w:val="24"/>
        </w:rPr>
        <w:t>5. 乙方依照产品说明书载明的投资范围、投资资产种类、投资比例进行投资，在投资管理过程中,遇市场变化或政策调整导致产品投资范围、投资资产种类、投资比例等暂时超出产品说明书的约定且乙方认为可能对投资者收益产生重大影响时，乙方将及时通过产品说明书约定的披露方式和途径进行披露。</w:t>
      </w:r>
    </w:p>
    <w:p>
      <w:pPr>
        <w:ind w:firstLine="482" w:firstLineChars="200"/>
        <w:rPr>
          <w:rFonts w:hint="eastAsia" w:ascii="楷体" w:hAnsi="楷体" w:eastAsia="楷体"/>
          <w:sz w:val="24"/>
          <w:szCs w:val="24"/>
        </w:rPr>
      </w:pPr>
      <w:r>
        <w:rPr>
          <w:rFonts w:hint="eastAsia" w:ascii="楷体" w:hAnsi="楷体" w:eastAsia="楷体"/>
          <w:b/>
          <w:bCs/>
          <w:sz w:val="24"/>
          <w:szCs w:val="24"/>
        </w:rPr>
        <w:t>6. 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ind w:firstLine="480" w:firstLineChars="200"/>
        <w:rPr>
          <w:rFonts w:hint="eastAsia" w:ascii="楷体" w:hAnsi="楷体" w:eastAsia="楷体"/>
          <w:sz w:val="24"/>
          <w:szCs w:val="24"/>
        </w:rPr>
      </w:pPr>
      <w:r>
        <w:rPr>
          <w:rFonts w:hint="eastAsia" w:ascii="楷体" w:hAnsi="楷体" w:eastAsia="楷体"/>
          <w:sz w:val="24"/>
          <w:szCs w:val="24"/>
        </w:rPr>
        <w:t>7. 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全体投资者承担，乙方有权从追索回来的款项中优先扣除。</w:t>
      </w:r>
    </w:p>
    <w:p>
      <w:pPr>
        <w:ind w:firstLine="480" w:firstLineChars="200"/>
        <w:rPr>
          <w:rFonts w:hint="eastAsia" w:ascii="楷体" w:hAnsi="楷体" w:eastAsia="楷体"/>
          <w:sz w:val="24"/>
          <w:szCs w:val="24"/>
        </w:rPr>
      </w:pPr>
      <w:r>
        <w:rPr>
          <w:rFonts w:hint="eastAsia" w:ascii="楷体" w:hAnsi="楷体" w:eastAsia="楷体"/>
          <w:sz w:val="24"/>
          <w:szCs w:val="24"/>
        </w:rPr>
        <w:t>8. 乙方有权代表投资者参加会议，对相关事项进行表决；乙方有权代表投资者利益，按照法律法规和监管部门相关规定对理财产品投资产生的风险资产进行多种方式的处置，包括但不限于转让、重组、债转股、资产证券化、委外催收、抵债资产收取与处置、破产重整等。</w:t>
      </w:r>
    </w:p>
    <w:p>
      <w:pPr>
        <w:ind w:firstLine="482" w:firstLineChars="200"/>
        <w:rPr>
          <w:rFonts w:hint="eastAsia" w:ascii="楷体" w:hAnsi="楷体" w:eastAsia="楷体"/>
          <w:sz w:val="24"/>
          <w:szCs w:val="24"/>
        </w:rPr>
      </w:pPr>
      <w:r>
        <w:rPr>
          <w:rFonts w:hint="eastAsia" w:ascii="楷体" w:hAnsi="楷体" w:eastAsia="楷体"/>
          <w:b/>
          <w:bCs/>
          <w:sz w:val="24"/>
          <w:szCs w:val="24"/>
        </w:rPr>
        <w:t>9. 甲方同意乙方在产品说明书约定的投资计划（包括但不限于投资范围、投资资产种类、投资比例等内容）内，依据自身的投资决策流程和风险管理机制做出和实施相关投资管理决定。</w:t>
      </w:r>
    </w:p>
    <w:p>
      <w:pPr>
        <w:ind w:firstLine="425"/>
        <w:rPr>
          <w:rFonts w:hint="eastAsia" w:ascii="楷体" w:hAnsi="楷体" w:eastAsia="楷体"/>
          <w:sz w:val="24"/>
          <w:szCs w:val="24"/>
        </w:rPr>
      </w:pPr>
      <w:r>
        <w:rPr>
          <w:rFonts w:hint="eastAsia" w:ascii="楷体" w:hAnsi="楷体" w:eastAsia="楷体"/>
          <w:sz w:val="24"/>
          <w:szCs w:val="24"/>
        </w:rPr>
        <w:t>10. 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ind w:firstLine="482" w:firstLineChars="200"/>
        <w:rPr>
          <w:rFonts w:hint="eastAsia" w:ascii="楷体" w:hAnsi="楷体" w:eastAsia="楷体"/>
          <w:b/>
          <w:sz w:val="24"/>
          <w:szCs w:val="24"/>
        </w:rPr>
      </w:pPr>
      <w:r>
        <w:rPr>
          <w:rFonts w:ascii="楷体" w:hAnsi="楷体" w:eastAsia="楷体"/>
          <w:b/>
          <w:sz w:val="24"/>
          <w:szCs w:val="24"/>
        </w:rPr>
        <w:t>五</w:t>
      </w:r>
      <w:r>
        <w:rPr>
          <w:rFonts w:hint="eastAsia" w:ascii="楷体" w:hAnsi="楷体" w:eastAsia="楷体"/>
          <w:b/>
          <w:sz w:val="24"/>
          <w:szCs w:val="24"/>
        </w:rPr>
        <w:t>、</w:t>
      </w:r>
      <w:r>
        <w:rPr>
          <w:rFonts w:ascii="楷体" w:hAnsi="楷体" w:eastAsia="楷体"/>
          <w:b/>
          <w:sz w:val="24"/>
          <w:szCs w:val="24"/>
        </w:rPr>
        <w:t>违约责任</w:t>
      </w:r>
    </w:p>
    <w:p>
      <w:pPr>
        <w:ind w:firstLine="480" w:firstLineChars="200"/>
        <w:rPr>
          <w:rFonts w:hint="eastAsia" w:ascii="楷体" w:hAnsi="楷体" w:eastAsia="楷体"/>
          <w:sz w:val="24"/>
          <w:szCs w:val="24"/>
        </w:rPr>
      </w:pPr>
      <w:r>
        <w:rPr>
          <w:rFonts w:hint="eastAsia" w:ascii="楷体" w:hAnsi="楷体" w:eastAsia="楷体"/>
          <w:sz w:val="24"/>
          <w:szCs w:val="24"/>
        </w:rPr>
        <w:t>1. 由于本协议一方当事人的过错，造成本协议不能履行或不能完全履行的，由有过错的一方承担违约责任；如双方同时负有过错，则应由双方各自按照过错程度承担责任。</w:t>
      </w:r>
    </w:p>
    <w:p>
      <w:pPr>
        <w:ind w:firstLine="482" w:firstLineChars="200"/>
        <w:rPr>
          <w:rFonts w:hint="eastAsia" w:ascii="楷体" w:hAnsi="楷体" w:eastAsia="楷体"/>
          <w:sz w:val="24"/>
          <w:szCs w:val="24"/>
        </w:rPr>
      </w:pPr>
      <w:r>
        <w:rPr>
          <w:rFonts w:hint="eastAsia" w:ascii="楷体" w:hAnsi="楷体" w:eastAsia="楷体"/>
          <w:b/>
          <w:sz w:val="24"/>
          <w:szCs w:val="24"/>
        </w:rPr>
        <w:t>2. 双方同意，发生下列情况造成损失时，按以下约定承担责任</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（1）对由于国家有关法律、法规、规章、政策的变化，监管机构管理规则的修改、紧急措施的出台等原因而导致的相关风险及损失，双方当事人互不承担责任；</w:t>
      </w:r>
    </w:p>
    <w:p>
      <w:pPr>
        <w:ind w:firstLine="480" w:firstLineChars="200"/>
        <w:rPr>
          <w:rFonts w:hint="eastAsia" w:ascii="楷体" w:hAnsi="楷体" w:eastAsia="楷体"/>
          <w:sz w:val="24"/>
          <w:szCs w:val="24"/>
        </w:rPr>
      </w:pPr>
      <w:r>
        <w:rPr>
          <w:rFonts w:hint="eastAsia" w:ascii="楷体" w:hAnsi="楷体" w:eastAsia="楷体"/>
          <w:sz w:val="24"/>
          <w:szCs w:val="24"/>
        </w:rPr>
        <w:t>（2）本协议书中涉及的相关到期日或兑付日如遇节假日，将顺延至下一个工作日，由此产生的风险及损失双方当事人互不承担责任；</w:t>
      </w:r>
    </w:p>
    <w:p>
      <w:pPr>
        <w:ind w:firstLine="480" w:firstLineChars="200"/>
        <w:rPr>
          <w:rFonts w:hint="eastAsia" w:ascii="楷体" w:hAnsi="楷体" w:eastAsia="楷体"/>
          <w:sz w:val="24"/>
          <w:szCs w:val="24"/>
        </w:rPr>
      </w:pPr>
      <w:r>
        <w:rPr>
          <w:rFonts w:hint="eastAsia" w:ascii="楷体" w:hAnsi="楷体" w:eastAsia="楷体"/>
          <w:sz w:val="24"/>
          <w:szCs w:val="24"/>
        </w:rPr>
        <w:t>（3）</w:t>
      </w:r>
      <w:r>
        <w:rPr>
          <w:rFonts w:hint="eastAsia" w:ascii="楷体" w:hAnsi="楷体" w:eastAsia="楷体"/>
          <w:b/>
          <w:sz w:val="24"/>
          <w:szCs w:val="24"/>
        </w:rPr>
        <w:t>如甲方违反本协议所做的声明和保证，或本产品甲方所涉及的资金被有权机关全部或部分冻结或者扣划，或乙方发现或有合理理由怀疑甲方或其资金存在洗钱、恐怖融资、逃税等嫌疑，乙方有权提前终止本合同，且乙方不承担相应责任，如因此给乙方或产品其他投资者造成损失的，甲方应承担违约责任。</w:t>
      </w:r>
    </w:p>
    <w:p>
      <w:pPr>
        <w:ind w:firstLine="482" w:firstLineChars="200"/>
        <w:rPr>
          <w:rFonts w:hint="eastAsia" w:ascii="楷体" w:hAnsi="楷体" w:eastAsia="楷体"/>
          <w:b/>
          <w:sz w:val="24"/>
          <w:szCs w:val="24"/>
        </w:rPr>
      </w:pPr>
      <w:r>
        <w:rPr>
          <w:rFonts w:hint="eastAsia" w:ascii="楷体" w:hAnsi="楷体" w:eastAsia="楷体"/>
          <w:b/>
          <w:sz w:val="24"/>
          <w:szCs w:val="24"/>
        </w:rPr>
        <w:t>六、免责条款</w:t>
      </w:r>
    </w:p>
    <w:p>
      <w:pPr>
        <w:ind w:firstLine="420"/>
        <w:rPr>
          <w:rFonts w:hint="eastAsia" w:ascii="楷体" w:hAnsi="楷体" w:eastAsia="楷体"/>
          <w:sz w:val="24"/>
          <w:szCs w:val="24"/>
        </w:rPr>
      </w:pPr>
      <w:r>
        <w:rPr>
          <w:rFonts w:hint="eastAsia" w:ascii="楷体" w:hAnsi="楷体" w:eastAsia="楷体"/>
          <w:sz w:val="24"/>
          <w:szCs w:val="24"/>
        </w:rPr>
        <w:t>1. 由于地震、火灾、战争等不可抗力导致的交易中断、延误等风险及损失，乙方不承担责任，但应在条件允许的情况下通知甲方，并采取一切必要的补救措施以减小不可抗力造成的损失。</w:t>
      </w:r>
    </w:p>
    <w:p>
      <w:pPr>
        <w:ind w:firstLine="420"/>
        <w:rPr>
          <w:rFonts w:hint="eastAsia" w:ascii="楷体" w:hAnsi="楷体" w:eastAsia="楷体"/>
          <w:sz w:val="24"/>
          <w:szCs w:val="24"/>
        </w:rPr>
      </w:pPr>
      <w:r>
        <w:rPr>
          <w:rFonts w:hint="eastAsia" w:ascii="楷体" w:hAnsi="楷体" w:eastAsia="楷体"/>
          <w:sz w:val="24"/>
          <w:szCs w:val="24"/>
        </w:rPr>
        <w:t>2. 由于国家的有关法律、法规、规章、政策的改变、紧急措施的出台而导致的风险，乙方不承担责任。</w:t>
      </w:r>
    </w:p>
    <w:p>
      <w:pPr>
        <w:ind w:firstLine="420"/>
        <w:rPr>
          <w:rFonts w:hint="eastAsia" w:ascii="楷体" w:hAnsi="楷体" w:eastAsia="楷体"/>
          <w:sz w:val="24"/>
          <w:szCs w:val="24"/>
        </w:rPr>
      </w:pPr>
      <w:r>
        <w:rPr>
          <w:rFonts w:hint="eastAsia" w:ascii="楷体" w:hAnsi="楷体" w:eastAsia="楷体"/>
          <w:sz w:val="24"/>
          <w:szCs w:val="24"/>
        </w:rPr>
        <w:t>3. 乙方依照恪尽职守、诚实信用、谨慎勤勉的原则管理和运用理财产品财产，</w:t>
      </w:r>
      <w:r>
        <w:rPr>
          <w:rFonts w:hint="eastAsia" w:ascii="楷体" w:hAnsi="楷体" w:eastAsia="楷体"/>
          <w:b/>
          <w:bCs/>
          <w:sz w:val="24"/>
          <w:szCs w:val="24"/>
        </w:rPr>
        <w:t>但不保证理财产品财产中的认（申）购资金本金不受损失，也不保证一定盈利及最低收益。</w:t>
      </w:r>
      <w:r>
        <w:rPr>
          <w:rFonts w:hint="eastAsia" w:ascii="楷体" w:hAnsi="楷体" w:eastAsia="楷体"/>
          <w:sz w:val="24"/>
          <w:szCs w:val="24"/>
        </w:rPr>
        <w:t>本理财产品运作过程中，乙方依据产品合同约定管理和运用理财产品财产所产生的风险，由理财产品财产及甲方承担。甲方应充分知晓投资运营的相关风险，具体风险详见风险揭示书及理财产品说明书的具体约定，其风险应由甲方自担。</w:t>
      </w:r>
    </w:p>
    <w:p>
      <w:pPr>
        <w:ind w:firstLine="420"/>
        <w:rPr>
          <w:rFonts w:hint="eastAsia" w:ascii="楷体" w:hAnsi="楷体" w:eastAsia="楷体"/>
          <w:sz w:val="24"/>
          <w:szCs w:val="24"/>
        </w:rPr>
      </w:pPr>
      <w:r>
        <w:rPr>
          <w:rFonts w:hint="eastAsia" w:ascii="楷体" w:hAnsi="楷体" w:eastAsia="楷体"/>
          <w:sz w:val="24"/>
          <w:szCs w:val="24"/>
        </w:rPr>
        <w:t>4. 非因乙方原因（包括但不限于甲方遗失本协议、理财产品合同被盗用、甲方资金账户被司法机关等有权部门冻结、扣划及其他投资者自身原因、投资标的固有风险等原因）造成的损失，乙方不承担责任。</w:t>
      </w:r>
    </w:p>
    <w:p>
      <w:pPr>
        <w:ind w:firstLine="482" w:firstLineChars="200"/>
        <w:rPr>
          <w:rFonts w:hint="eastAsia" w:ascii="楷体" w:hAnsi="楷体" w:eastAsia="楷体"/>
          <w:b/>
          <w:sz w:val="24"/>
          <w:szCs w:val="24"/>
        </w:rPr>
      </w:pPr>
      <w:r>
        <w:rPr>
          <w:rFonts w:ascii="楷体" w:hAnsi="楷体" w:eastAsia="楷体"/>
          <w:b/>
          <w:sz w:val="24"/>
          <w:szCs w:val="24"/>
        </w:rPr>
        <w:t>七</w:t>
      </w:r>
      <w:r>
        <w:rPr>
          <w:rFonts w:hint="eastAsia" w:ascii="楷体" w:hAnsi="楷体" w:eastAsia="楷体"/>
          <w:b/>
          <w:sz w:val="24"/>
          <w:szCs w:val="24"/>
        </w:rPr>
        <w:t>、</w:t>
      </w:r>
      <w:r>
        <w:rPr>
          <w:rFonts w:ascii="楷体" w:hAnsi="楷体" w:eastAsia="楷体"/>
          <w:b/>
          <w:sz w:val="24"/>
          <w:szCs w:val="24"/>
        </w:rPr>
        <w:t>信息披露</w:t>
      </w:r>
    </w:p>
    <w:p>
      <w:pPr>
        <w:ind w:firstLine="480" w:firstLineChars="200"/>
        <w:rPr>
          <w:rFonts w:hint="eastAsia" w:ascii="楷体" w:hAnsi="楷体" w:eastAsia="楷体"/>
          <w:sz w:val="24"/>
          <w:szCs w:val="24"/>
        </w:rPr>
      </w:pPr>
      <w:r>
        <w:rPr>
          <w:rFonts w:hint="eastAsia" w:ascii="楷体" w:hAnsi="楷体" w:eastAsia="楷体"/>
          <w:sz w:val="24"/>
          <w:szCs w:val="24"/>
        </w:rPr>
        <w:t>1. 本产品存续期间，乙方将以苏银理财或销售服务机构的信息披露渠道（包括但不限于苏银理财或代销机构的营业网点、门户网站、电子销售渠道等）作为本理财产品的信息披露渠道，具体信息披露详见《理财产品说明书》。</w:t>
      </w:r>
    </w:p>
    <w:p>
      <w:pPr>
        <w:ind w:firstLine="480" w:firstLineChars="200"/>
        <w:rPr>
          <w:rFonts w:hint="eastAsia" w:ascii="楷体" w:hAnsi="楷体" w:eastAsia="楷体"/>
          <w:sz w:val="24"/>
          <w:szCs w:val="24"/>
        </w:rPr>
      </w:pPr>
      <w:r>
        <w:rPr>
          <w:rFonts w:hint="eastAsia" w:ascii="楷体" w:hAnsi="楷体" w:eastAsia="楷体"/>
          <w:sz w:val="24"/>
          <w:szCs w:val="24"/>
        </w:rPr>
        <w:t>2. 乙方通过苏银理财或销售服务机构的信息披露渠道发布理财产品有关信息，即视为已适当履行其在本条下的信息披露义务。如乙方或销售服务机构认为需要直接联系甲方的，乙方或销售服务机构将依据本协议书投资者信息中甲方预留的信息进行通知。因甲方原因而导致该等通知失败的，乙方不承担责任。</w:t>
      </w:r>
    </w:p>
    <w:p>
      <w:pPr>
        <w:ind w:firstLine="482" w:firstLineChars="200"/>
        <w:rPr>
          <w:rFonts w:hint="eastAsia" w:ascii="楷体" w:hAnsi="楷体" w:eastAsia="楷体"/>
          <w:b/>
          <w:sz w:val="24"/>
          <w:szCs w:val="24"/>
        </w:rPr>
      </w:pPr>
      <w:r>
        <w:rPr>
          <w:rFonts w:hint="eastAsia" w:ascii="楷体" w:hAnsi="楷体" w:eastAsia="楷体"/>
          <w:b/>
          <w:sz w:val="24"/>
          <w:szCs w:val="24"/>
        </w:rPr>
        <w:t>八、协议的生效、变更及终止</w:t>
      </w:r>
    </w:p>
    <w:p>
      <w:pPr>
        <w:ind w:firstLine="420"/>
        <w:rPr>
          <w:rFonts w:hint="eastAsia" w:ascii="楷体" w:hAnsi="楷体" w:eastAsia="楷体"/>
          <w:sz w:val="24"/>
          <w:szCs w:val="24"/>
        </w:rPr>
      </w:pPr>
      <w:r>
        <w:rPr>
          <w:rFonts w:hint="eastAsia" w:ascii="楷体" w:hAnsi="楷体" w:eastAsia="楷体"/>
          <w:sz w:val="24"/>
          <w:szCs w:val="24"/>
        </w:rPr>
        <w:t>1. 甲方直接通过乙方购买本理财产品，本协议经甲方个人客户签字/机构客户法定代表人签字并加盖公章且乙方加盖公章或业务专用章后生效。甲方通过销售服务机构的网点柜面渠道购买本理财产品，本协议经甲方个人客户签字/机构客户法定代表人签字并加盖公章且成功缴纳购买资金并经乙方系统确认购买份额后生效。甲方通过乙方或销售服务机构电子渠道进行理财交易的，甲方在相应电子页面点击“确定”或“接受”或“已阅读并同意”或“同意”或“提交”或其他同等含义词语，即视为其已签署，表示其同意接受本协议、对应《理财产品说明书》《风险揭示书》和《投资者权益须知》等相关销售文件的全部约定内容，认可其法律约束力。协议各方当事人认可电子渠道所产生电子数据的有效性。本协议生效并不代表甲方认（申）购成功，是否认（申）购成功以及认（申）购的具体金额以乙方最终确认为准。</w:t>
      </w:r>
    </w:p>
    <w:p>
      <w:pPr>
        <w:ind w:firstLine="420"/>
        <w:rPr>
          <w:rStyle w:val="19"/>
        </w:rPr>
      </w:pPr>
      <w:r>
        <w:rPr>
          <w:rFonts w:hint="eastAsia" w:ascii="楷体" w:hAnsi="楷体" w:eastAsia="楷体"/>
          <w:sz w:val="24"/>
          <w:szCs w:val="24"/>
        </w:rPr>
        <w:t>2. 甲方在办理理财产品的购买、赎回等交易后，需通过销售机构营业网点或网上销售平台查询相关交易的确认情况，最终以乙方确认的产品购买金额或赎回份额作为理财产品合同的生效或终止依据。</w:t>
      </w:r>
    </w:p>
    <w:p>
      <w:pPr>
        <w:ind w:firstLine="420"/>
        <w:rPr>
          <w:rFonts w:hint="eastAsia" w:ascii="楷体" w:hAnsi="楷体" w:eastAsia="楷体"/>
          <w:color w:val="0000FF"/>
          <w:sz w:val="24"/>
          <w:szCs w:val="24"/>
        </w:rPr>
      </w:pPr>
      <w:r>
        <w:rPr>
          <w:rFonts w:hint="eastAsia" w:ascii="楷体" w:hAnsi="楷体" w:eastAsia="楷体"/>
          <w:sz w:val="24"/>
          <w:szCs w:val="24"/>
        </w:rPr>
        <w:t>3. 除按《理财</w:t>
      </w:r>
      <w:r>
        <w:rPr>
          <w:rFonts w:hint="eastAsia" w:ascii="楷体" w:hAnsi="楷体" w:eastAsia="楷体" w:cs="浠垮畫"/>
          <w:kern w:val="0"/>
          <w:sz w:val="24"/>
          <w:szCs w:val="24"/>
        </w:rPr>
        <w:t>产品说明书》约定乙方有权提前终止情形外，甲方有违约行为或交易资金被国家有权机关采取保全措施时，乙方有权提前终止本协议。</w:t>
      </w:r>
    </w:p>
    <w:p>
      <w:pPr>
        <w:ind w:firstLine="420"/>
        <w:rPr>
          <w:rFonts w:hint="eastAsia" w:ascii="楷体" w:hAnsi="楷体" w:eastAsia="楷体"/>
          <w:sz w:val="24"/>
          <w:szCs w:val="24"/>
        </w:rPr>
      </w:pPr>
      <w:r>
        <w:rPr>
          <w:rFonts w:hint="eastAsia" w:ascii="楷体" w:hAnsi="楷体" w:eastAsia="楷体"/>
          <w:sz w:val="24"/>
          <w:szCs w:val="24"/>
        </w:rPr>
        <w:t>4. 乙方或代销机构发现或有合理理由怀疑甲方或其资金存在洗钱、恐怖融资、逃税等嫌疑，乙方有权提前终止本协议，造成甲方损失的，乙方不承担责任。</w:t>
      </w:r>
    </w:p>
    <w:p>
      <w:pPr>
        <w:ind w:firstLine="420"/>
        <w:rPr>
          <w:rFonts w:hint="eastAsia" w:ascii="楷体" w:hAnsi="楷体" w:eastAsia="楷体"/>
          <w:sz w:val="24"/>
          <w:szCs w:val="24"/>
        </w:rPr>
      </w:pPr>
      <w:r>
        <w:rPr>
          <w:rFonts w:hint="eastAsia" w:ascii="楷体" w:hAnsi="楷体" w:eastAsia="楷体"/>
          <w:sz w:val="24"/>
          <w:szCs w:val="24"/>
        </w:rPr>
        <w:t>5. 本协议及《理财产品说明书》、《理财产品（代理）销售协议书》项下各方权利义务履行完毕之日，本协议自动终止。</w:t>
      </w:r>
    </w:p>
    <w:p>
      <w:pPr>
        <w:ind w:firstLine="420"/>
        <w:rPr>
          <w:rFonts w:hint="eastAsia" w:ascii="楷体" w:hAnsi="楷体" w:eastAsia="楷体"/>
          <w:b/>
          <w:sz w:val="24"/>
          <w:szCs w:val="24"/>
        </w:rPr>
      </w:pPr>
      <w:r>
        <w:rPr>
          <w:rFonts w:hint="eastAsia" w:ascii="楷体" w:hAnsi="楷体" w:eastAsia="楷体"/>
          <w:b/>
          <w:sz w:val="24"/>
          <w:szCs w:val="24"/>
        </w:rPr>
        <w:t>九、本合同的订立、生效、履行、解释、修改和终止等事项均适用中华人民共和国（不包括香港特别行政区、澳门特别行政区和台湾地区）法律。</w:t>
      </w:r>
    </w:p>
    <w:p>
      <w:pPr>
        <w:ind w:firstLine="420"/>
        <w:rPr>
          <w:rFonts w:hint="eastAsia" w:ascii="楷体" w:hAnsi="楷体" w:eastAsia="楷体"/>
          <w:sz w:val="24"/>
          <w:szCs w:val="24"/>
        </w:rPr>
      </w:pPr>
      <w:r>
        <w:rPr>
          <w:rFonts w:hint="eastAsia" w:ascii="楷体" w:hAnsi="楷体" w:eastAsia="楷体"/>
          <w:sz w:val="24"/>
          <w:szCs w:val="24"/>
        </w:rPr>
        <w:t>因本合同引起的或与本合同有关的任何争议，应当首先通过双方之间的友好协商解决；协商不成的，双方均有权提交乙方所在地有管辖权的人民法院诉讼解决。</w:t>
      </w:r>
    </w:p>
    <w:p>
      <w:pPr>
        <w:ind w:firstLine="420"/>
        <w:rPr>
          <w:rFonts w:hint="eastAsia" w:ascii="楷体" w:hAnsi="楷体" w:eastAsia="楷体"/>
          <w:b/>
          <w:sz w:val="24"/>
          <w:szCs w:val="24"/>
        </w:rPr>
      </w:pPr>
      <w:r>
        <w:rPr>
          <w:rFonts w:hint="eastAsia" w:ascii="楷体" w:hAnsi="楷体" w:eastAsia="楷体"/>
          <w:b/>
          <w:sz w:val="24"/>
          <w:szCs w:val="24"/>
        </w:rPr>
        <w:t>十、本投资协议书未尽事宜，以理财产品说明书、风险揭示书、理财产品（代理）销售协议书、投资者权益须知的约定内容为准。</w:t>
      </w:r>
    </w:p>
    <w:p>
      <w:pPr>
        <w:ind w:firstLine="420"/>
        <w:rPr>
          <w:rFonts w:hint="eastAsia" w:ascii="楷体" w:hAnsi="楷体" w:eastAsia="楷体"/>
          <w:b/>
          <w:sz w:val="24"/>
          <w:szCs w:val="24"/>
        </w:rPr>
      </w:pPr>
    </w:p>
    <w:p>
      <w:pPr>
        <w:ind w:firstLine="420"/>
        <w:rPr>
          <w:rFonts w:hint="eastAsia" w:ascii="楷体" w:hAnsi="楷体" w:eastAsia="楷体"/>
          <w:b/>
          <w:sz w:val="24"/>
          <w:szCs w:val="24"/>
        </w:rPr>
      </w:pPr>
    </w:p>
    <w:p>
      <w:pPr>
        <w:ind w:firstLine="420"/>
        <w:rPr>
          <w:rFonts w:hint="eastAsia" w:ascii="楷体" w:hAnsi="楷体" w:eastAsia="楷体"/>
          <w:b/>
          <w:sz w:val="24"/>
          <w:szCs w:val="24"/>
        </w:rPr>
      </w:pPr>
    </w:p>
    <w:p>
      <w:pPr>
        <w:ind w:firstLine="420"/>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 xml:space="preserve">（个人客户签字）：      </w:t>
      </w:r>
      <w:r>
        <w:rPr>
          <w:rFonts w:ascii="楷体" w:hAnsi="楷体" w:eastAsia="楷体"/>
          <w:sz w:val="24"/>
          <w:szCs w:val="24"/>
        </w:rPr>
        <w:t>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rPr>
        <w:t xml:space="preserve">                               </w:t>
      </w:r>
      <w:r>
        <w:rPr>
          <w:rFonts w:hint="eastAsia" w:ascii="楷体" w:hAnsi="楷体" w:eastAsia="楷体"/>
          <w:sz w:val="24"/>
          <w:szCs w:val="24"/>
        </w:rPr>
        <w:t>机构客户法定代表人或授权代表（签字或盖章）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：苏银</w:t>
      </w:r>
      <w:r>
        <w:rPr>
          <w:rFonts w:ascii="楷体" w:hAnsi="楷体" w:eastAsia="楷体"/>
          <w:sz w:val="24"/>
          <w:szCs w:val="24"/>
        </w:rPr>
        <w:t>理财有限责任公司</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autoSpaceDE w:val="0"/>
        <w:autoSpaceDN w:val="0"/>
        <w:adjustRightInd w:val="0"/>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rPr>
          <w:rFonts w:hint="eastAsia" w:ascii="楷体" w:hAnsi="楷体" w:eastAsia="楷体"/>
          <w:sz w:val="24"/>
          <w:szCs w:val="24"/>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pStyle w:val="12"/>
        <w:spacing w:before="0" w:beforeAutospacing="0" w:after="0" w:afterAutospacing="0"/>
        <w:jc w:val="center"/>
        <w:rPr>
          <w:rFonts w:hint="eastAsia" w:ascii="楷体" w:hAnsi="楷体" w:eastAsia="楷体"/>
          <w:b/>
          <w:sz w:val="28"/>
          <w:szCs w:val="28"/>
        </w:rPr>
      </w:pPr>
    </w:p>
    <w:p>
      <w:pPr>
        <w:rPr>
          <w:rFonts w:hint="eastAsia" w:ascii="楷体" w:hAnsi="楷体" w:eastAsia="楷体"/>
          <w:sz w:val="24"/>
          <w:szCs w:val="24"/>
        </w:rPr>
      </w:pPr>
    </w:p>
    <w:p/>
    <w:sectPr>
      <w:headerReference r:id="rId6" w:type="first"/>
      <w:headerReference r:id="rId4" w:type="default"/>
      <w:footerReference r:id="rId7" w:type="default"/>
      <w:head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pPr>
      <w:r>
        <w:rPr>
          <w:rStyle w:val="20"/>
        </w:rPr>
        <w:footnoteRef/>
      </w:r>
      <w:r>
        <w:t xml:space="preserve"> </w:t>
      </w:r>
      <w:r>
        <w:rPr>
          <w:rFonts w:hint="eastAsia" w:ascii="楷体" w:hAnsi="楷体" w:eastAsia="楷体" w:cs="楷体"/>
        </w:rPr>
        <w:t>投资者权益须知的名称和内容以销售机构实际使用为准。</w:t>
      </w:r>
    </w:p>
  </w:footnote>
  <w:footnote w:id="1">
    <w:p>
      <w:pPr>
        <w:pStyle w:val="11"/>
      </w:pPr>
      <w:r>
        <w:rPr>
          <w:rStyle w:val="20"/>
        </w:rPr>
        <w:footnoteRef/>
      </w:r>
      <w:r>
        <w:t xml:space="preserve"> </w:t>
      </w:r>
      <w:r>
        <w:rPr>
          <w:rFonts w:hint="eastAsia" w:ascii="楷体" w:hAnsi="楷体" w:eastAsia="楷体" w:cs="楷体"/>
        </w:rPr>
        <w:t>理财产品（代理）销售协议书的名称和内容以销售机构实际使用为准。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hint="eastAsia" w:ascii="楷体" w:hAnsi="楷体" w:eastAsia="楷体" w:cs="黑体"/>
        <w:b/>
        <w:spacing w:val="-2"/>
        <w:sz w:val="24"/>
        <w:szCs w:val="24"/>
      </w:rPr>
    </w:pPr>
    <w:r>
      <w:rPr>
        <w:rFonts w:hint="eastAsia" w:ascii="楷体" w:hAnsi="楷体" w:eastAsia="楷体"/>
        <w:b/>
      </w:rPr>
      <w:pict>
        <v:shape id="WordPictureWatermark367128483" o:spid="_x0000_s1026"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rPr>
        <w:rFonts w:hint="eastAsia"/>
      </w:rPr>
      <w:pict>
        <v:shape id="图片 1" o:spid="_x0000_s1027"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5"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28"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5D44A"/>
    <w:multiLevelType w:val="singleLevel"/>
    <w:tmpl w:val="9E55D44A"/>
    <w:lvl w:ilvl="0" w:tentative="0">
      <w:start w:val="3"/>
      <w:numFmt w:val="decimal"/>
      <w:suff w:val="space"/>
      <w:lvlText w:val="%1."/>
      <w:lvlJc w:val="left"/>
    </w:lvl>
  </w:abstractNum>
  <w:abstractNum w:abstractNumId="1">
    <w:nsid w:val="D29BAE0D"/>
    <w:multiLevelType w:val="singleLevel"/>
    <w:tmpl w:val="D29BAE0D"/>
    <w:lvl w:ilvl="0" w:tentative="0">
      <w:start w:val="1"/>
      <w:numFmt w:val="decimal"/>
      <w:suff w:val="space"/>
      <w:lvlText w:val="%1."/>
      <w:lvlJc w:val="left"/>
    </w:lvl>
  </w:abstractNum>
  <w:abstractNum w:abstractNumId="2">
    <w:nsid w:val="ED4BC391"/>
    <w:multiLevelType w:val="singleLevel"/>
    <w:tmpl w:val="ED4BC391"/>
    <w:lvl w:ilvl="0" w:tentative="0">
      <w:start w:val="5"/>
      <w:numFmt w:val="decimal"/>
      <w:suff w:val="space"/>
      <w:lvlText w:val="%1."/>
      <w:lvlJc w:val="left"/>
    </w:lvl>
  </w:abstractNum>
  <w:abstractNum w:abstractNumId="3">
    <w:nsid w:val="EE75D0C4"/>
    <w:multiLevelType w:val="singleLevel"/>
    <w:tmpl w:val="EE75D0C4"/>
    <w:lvl w:ilvl="0" w:tentative="0">
      <w:start w:val="1"/>
      <w:numFmt w:val="decimal"/>
      <w:suff w:val="nothing"/>
      <w:lvlText w:val="（%1）"/>
      <w:lvlJc w:val="left"/>
    </w:lvl>
  </w:abstractNum>
  <w:abstractNum w:abstractNumId="4">
    <w:nsid w:val="0579248A"/>
    <w:multiLevelType w:val="multilevel"/>
    <w:tmpl w:val="0579248A"/>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5">
    <w:nsid w:val="06977D34"/>
    <w:multiLevelType w:val="multilevel"/>
    <w:tmpl w:val="06977D34"/>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6">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D981FD4"/>
    <w:multiLevelType w:val="multilevel"/>
    <w:tmpl w:val="0D981FD4"/>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9">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8278C74"/>
    <w:multiLevelType w:val="singleLevel"/>
    <w:tmpl w:val="18278C74"/>
    <w:lvl w:ilvl="0" w:tentative="0">
      <w:start w:val="2"/>
      <w:numFmt w:val="decimal"/>
      <w:suff w:val="space"/>
      <w:lvlText w:val="%1."/>
      <w:lvlJc w:val="left"/>
    </w:lvl>
  </w:abstractNum>
  <w:abstractNum w:abstractNumId="12">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B5E71E1"/>
    <w:multiLevelType w:val="multilevel"/>
    <w:tmpl w:val="2B5E71E1"/>
    <w:lvl w:ilvl="0" w:tentative="0">
      <w:start w:val="1"/>
      <w:numFmt w:val="chineseCountingThousand"/>
      <w:lvlText w:val="(%1)"/>
      <w:lvlJc w:val="left"/>
      <w:pPr>
        <w:ind w:left="1129"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19">
    <w:nsid w:val="2CE04DEB"/>
    <w:multiLevelType w:val="multilevel"/>
    <w:tmpl w:val="2CE04DE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2D3D19BD"/>
    <w:multiLevelType w:val="singleLevel"/>
    <w:tmpl w:val="2D3D19BD"/>
    <w:lvl w:ilvl="0" w:tentative="0">
      <w:start w:val="4"/>
      <w:numFmt w:val="decimal"/>
      <w:suff w:val="space"/>
      <w:lvlText w:val="%1."/>
      <w:lvlJc w:val="left"/>
    </w:lvl>
  </w:abstractNum>
  <w:abstractNum w:abstractNumId="2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3E67259D"/>
    <w:multiLevelType w:val="multilevel"/>
    <w:tmpl w:val="3E67259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3FC765AA"/>
    <w:multiLevelType w:val="multilevel"/>
    <w:tmpl w:val="3FC765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1">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4EFB275F"/>
    <w:multiLevelType w:val="multilevel"/>
    <w:tmpl w:val="4EFB275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5430E6E"/>
    <w:multiLevelType w:val="multilevel"/>
    <w:tmpl w:val="65430E6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6FA54A7"/>
    <w:multiLevelType w:val="multilevel"/>
    <w:tmpl w:val="66FA54A7"/>
    <w:lvl w:ilvl="0" w:tentative="0">
      <w:start w:val="1"/>
      <w:numFmt w:val="decimal"/>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737049F"/>
    <w:multiLevelType w:val="multilevel"/>
    <w:tmpl w:val="6737049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6BFB44B6"/>
    <w:multiLevelType w:val="multilevel"/>
    <w:tmpl w:val="6BFB44B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6D244212"/>
    <w:multiLevelType w:val="multilevel"/>
    <w:tmpl w:val="6D24421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767AF553"/>
    <w:multiLevelType w:val="singleLevel"/>
    <w:tmpl w:val="767AF553"/>
    <w:lvl w:ilvl="0" w:tentative="0">
      <w:start w:val="8"/>
      <w:numFmt w:val="decimal"/>
      <w:suff w:val="space"/>
      <w:lvlText w:val="%1."/>
      <w:lvlJc w:val="left"/>
    </w:lvl>
  </w:abstractNum>
  <w:abstractNum w:abstractNumId="49">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0">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4"/>
  </w:num>
  <w:num w:numId="3">
    <w:abstractNumId w:val="4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8"/>
  </w:num>
  <w:num w:numId="8">
    <w:abstractNumId w:val="13"/>
  </w:num>
  <w:num w:numId="9">
    <w:abstractNumId w:val="30"/>
  </w:num>
  <w:num w:numId="10">
    <w:abstractNumId w:val="29"/>
  </w:num>
  <w:num w:numId="11">
    <w:abstractNumId w:val="12"/>
  </w:num>
  <w:num w:numId="12">
    <w:abstractNumId w:val="23"/>
  </w:num>
  <w:num w:numId="13">
    <w:abstractNumId w:val="16"/>
  </w:num>
  <w:num w:numId="14">
    <w:abstractNumId w:val="36"/>
  </w:num>
  <w:num w:numId="15">
    <w:abstractNumId w:val="43"/>
  </w:num>
  <w:num w:numId="16">
    <w:abstractNumId w:val="15"/>
  </w:num>
  <w:num w:numId="17">
    <w:abstractNumId w:val="28"/>
  </w:num>
  <w:num w:numId="18">
    <w:abstractNumId w:val="3"/>
  </w:num>
  <w:num w:numId="19">
    <w:abstractNumId w:val="47"/>
  </w:num>
  <w:num w:numId="20">
    <w:abstractNumId w:val="32"/>
  </w:num>
  <w:num w:numId="21">
    <w:abstractNumId w:val="17"/>
  </w:num>
  <w:num w:numId="22">
    <w:abstractNumId w:val="4"/>
  </w:num>
  <w:num w:numId="23">
    <w:abstractNumId w:val="39"/>
  </w:num>
  <w:num w:numId="24">
    <w:abstractNumId w:val="26"/>
  </w:num>
  <w:num w:numId="25">
    <w:abstractNumId w:val="8"/>
  </w:num>
  <w:num w:numId="26">
    <w:abstractNumId w:val="42"/>
  </w:num>
  <w:num w:numId="27">
    <w:abstractNumId w:val="37"/>
  </w:num>
  <w:num w:numId="28">
    <w:abstractNumId w:val="33"/>
  </w:num>
  <w:num w:numId="29">
    <w:abstractNumId w:val="9"/>
  </w:num>
  <w:num w:numId="30">
    <w:abstractNumId w:val="19"/>
  </w:num>
  <w:num w:numId="31">
    <w:abstractNumId w:val="10"/>
  </w:num>
  <w:num w:numId="32">
    <w:abstractNumId w:val="21"/>
  </w:num>
  <w:num w:numId="33">
    <w:abstractNumId w:val="41"/>
  </w:num>
  <w:num w:numId="34">
    <w:abstractNumId w:val="7"/>
  </w:num>
  <w:num w:numId="35">
    <w:abstractNumId w:val="44"/>
  </w:num>
  <w:num w:numId="36">
    <w:abstractNumId w:val="35"/>
  </w:num>
  <w:num w:numId="37">
    <w:abstractNumId w:val="45"/>
  </w:num>
  <w:num w:numId="38">
    <w:abstractNumId w:val="50"/>
  </w:num>
  <w:num w:numId="39">
    <w:abstractNumId w:val="40"/>
  </w:num>
  <w:num w:numId="40">
    <w:abstractNumId w:val="22"/>
  </w:num>
  <w:num w:numId="41">
    <w:abstractNumId w:val="34"/>
  </w:num>
  <w:num w:numId="42">
    <w:abstractNumId w:val="31"/>
  </w:num>
  <w:num w:numId="43">
    <w:abstractNumId w:val="38"/>
  </w:num>
  <w:num w:numId="44">
    <w:abstractNumId w:val="6"/>
  </w:num>
  <w:num w:numId="45">
    <w:abstractNumId w:val="25"/>
  </w:num>
  <w:num w:numId="46">
    <w:abstractNumId w:val="1"/>
  </w:num>
  <w:num w:numId="47">
    <w:abstractNumId w:val="2"/>
  </w:num>
  <w:num w:numId="48">
    <w:abstractNumId w:val="20"/>
  </w:num>
  <w:num w:numId="49">
    <w:abstractNumId w:val="11"/>
  </w:num>
  <w:num w:numId="50">
    <w:abstractNumId w:val="48"/>
  </w:num>
  <w:num w:numId="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95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6F8A"/>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27"/>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1EA4"/>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242"/>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0D95"/>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8D8"/>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6E4"/>
    <w:rsid w:val="00576A7C"/>
    <w:rsid w:val="00576B9E"/>
    <w:rsid w:val="00577555"/>
    <w:rsid w:val="005775A5"/>
    <w:rsid w:val="0057778D"/>
    <w:rsid w:val="00577DAB"/>
    <w:rsid w:val="00577F8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33B"/>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577C"/>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292D"/>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1EA2"/>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50A"/>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02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1B3"/>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97AB8"/>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324"/>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2E4"/>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3"/>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0D43"/>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7B445F"/>
    <w:rsid w:val="0198569C"/>
    <w:rsid w:val="02370032"/>
    <w:rsid w:val="0256300D"/>
    <w:rsid w:val="028B4239"/>
    <w:rsid w:val="02EB0D56"/>
    <w:rsid w:val="03A01483"/>
    <w:rsid w:val="03B67C76"/>
    <w:rsid w:val="040D1E70"/>
    <w:rsid w:val="04611584"/>
    <w:rsid w:val="04717FC7"/>
    <w:rsid w:val="047C4C14"/>
    <w:rsid w:val="04856793"/>
    <w:rsid w:val="04AF06BB"/>
    <w:rsid w:val="04E5186C"/>
    <w:rsid w:val="04EF46D7"/>
    <w:rsid w:val="050D4C4E"/>
    <w:rsid w:val="050D76F3"/>
    <w:rsid w:val="05551886"/>
    <w:rsid w:val="0571302A"/>
    <w:rsid w:val="05BF7FAC"/>
    <w:rsid w:val="05F67880"/>
    <w:rsid w:val="06B37FBE"/>
    <w:rsid w:val="06E32567"/>
    <w:rsid w:val="0744506D"/>
    <w:rsid w:val="074D2DE5"/>
    <w:rsid w:val="07B66435"/>
    <w:rsid w:val="0844127F"/>
    <w:rsid w:val="088E2EE0"/>
    <w:rsid w:val="08B84CBC"/>
    <w:rsid w:val="091E3E67"/>
    <w:rsid w:val="09223CD6"/>
    <w:rsid w:val="09B329F7"/>
    <w:rsid w:val="09B40137"/>
    <w:rsid w:val="09C0168D"/>
    <w:rsid w:val="09C05CC2"/>
    <w:rsid w:val="0A2F27BA"/>
    <w:rsid w:val="0A3318C7"/>
    <w:rsid w:val="0A6B78A7"/>
    <w:rsid w:val="0A9C5549"/>
    <w:rsid w:val="0AC220F4"/>
    <w:rsid w:val="0BE114CF"/>
    <w:rsid w:val="0C617A16"/>
    <w:rsid w:val="0C9A0002"/>
    <w:rsid w:val="0CAA2CB5"/>
    <w:rsid w:val="0D363097"/>
    <w:rsid w:val="0DC529BE"/>
    <w:rsid w:val="0DD42410"/>
    <w:rsid w:val="0E675D09"/>
    <w:rsid w:val="0E954E7E"/>
    <w:rsid w:val="0EA844B9"/>
    <w:rsid w:val="0EF07295"/>
    <w:rsid w:val="0F116B5A"/>
    <w:rsid w:val="0F5650E9"/>
    <w:rsid w:val="0F9223FC"/>
    <w:rsid w:val="0FE81E2C"/>
    <w:rsid w:val="0FEC1CE9"/>
    <w:rsid w:val="10BA7A9A"/>
    <w:rsid w:val="10E55ACF"/>
    <w:rsid w:val="10F91CBF"/>
    <w:rsid w:val="111A451D"/>
    <w:rsid w:val="11B969D0"/>
    <w:rsid w:val="11D348F2"/>
    <w:rsid w:val="11D673FE"/>
    <w:rsid w:val="11D71429"/>
    <w:rsid w:val="121E0F6C"/>
    <w:rsid w:val="123C273A"/>
    <w:rsid w:val="12DD0C9E"/>
    <w:rsid w:val="132D0579"/>
    <w:rsid w:val="133E5F8E"/>
    <w:rsid w:val="136944C3"/>
    <w:rsid w:val="13A51A9A"/>
    <w:rsid w:val="14206758"/>
    <w:rsid w:val="14264F69"/>
    <w:rsid w:val="14305E5E"/>
    <w:rsid w:val="143454DC"/>
    <w:rsid w:val="14663C85"/>
    <w:rsid w:val="148A2BC7"/>
    <w:rsid w:val="14B24220"/>
    <w:rsid w:val="14D961C2"/>
    <w:rsid w:val="158A2D44"/>
    <w:rsid w:val="167875EF"/>
    <w:rsid w:val="168C6D93"/>
    <w:rsid w:val="16BD1292"/>
    <w:rsid w:val="172134D1"/>
    <w:rsid w:val="17991002"/>
    <w:rsid w:val="179E4EFF"/>
    <w:rsid w:val="17C1658D"/>
    <w:rsid w:val="180F3786"/>
    <w:rsid w:val="18572461"/>
    <w:rsid w:val="18F0425D"/>
    <w:rsid w:val="192E66E1"/>
    <w:rsid w:val="19D73138"/>
    <w:rsid w:val="19DB6462"/>
    <w:rsid w:val="19E80754"/>
    <w:rsid w:val="1A105B97"/>
    <w:rsid w:val="1A282F70"/>
    <w:rsid w:val="1A384A00"/>
    <w:rsid w:val="1AC05002"/>
    <w:rsid w:val="1AF52EA6"/>
    <w:rsid w:val="1AF55E49"/>
    <w:rsid w:val="1AFA76DA"/>
    <w:rsid w:val="1B046FF4"/>
    <w:rsid w:val="1B0F329D"/>
    <w:rsid w:val="1B1A5867"/>
    <w:rsid w:val="1B933924"/>
    <w:rsid w:val="1BA32D12"/>
    <w:rsid w:val="1BAC0B6B"/>
    <w:rsid w:val="1BB2104F"/>
    <w:rsid w:val="1C4B016F"/>
    <w:rsid w:val="1C80443B"/>
    <w:rsid w:val="1C942853"/>
    <w:rsid w:val="1CA90AAF"/>
    <w:rsid w:val="1D267947"/>
    <w:rsid w:val="1D5D461B"/>
    <w:rsid w:val="1D8420C5"/>
    <w:rsid w:val="1DA14C6B"/>
    <w:rsid w:val="1DF77AA7"/>
    <w:rsid w:val="1E0D155D"/>
    <w:rsid w:val="1E305D33"/>
    <w:rsid w:val="1E486B0B"/>
    <w:rsid w:val="1E8B7F21"/>
    <w:rsid w:val="1E8E6162"/>
    <w:rsid w:val="1EA2602D"/>
    <w:rsid w:val="1EB0786E"/>
    <w:rsid w:val="1F421668"/>
    <w:rsid w:val="1F8D0609"/>
    <w:rsid w:val="1FA42FAD"/>
    <w:rsid w:val="1FDC4C51"/>
    <w:rsid w:val="1FE801E9"/>
    <w:rsid w:val="1FF35E35"/>
    <w:rsid w:val="20464C58"/>
    <w:rsid w:val="20667DE2"/>
    <w:rsid w:val="20BB471F"/>
    <w:rsid w:val="21405B9D"/>
    <w:rsid w:val="21530189"/>
    <w:rsid w:val="215E6C35"/>
    <w:rsid w:val="21B10A39"/>
    <w:rsid w:val="21B81C30"/>
    <w:rsid w:val="21BC739E"/>
    <w:rsid w:val="220379D8"/>
    <w:rsid w:val="223D0F38"/>
    <w:rsid w:val="22B32C21"/>
    <w:rsid w:val="23383A5C"/>
    <w:rsid w:val="23EC7071"/>
    <w:rsid w:val="23F8587D"/>
    <w:rsid w:val="246D6E11"/>
    <w:rsid w:val="2478125D"/>
    <w:rsid w:val="248F04C4"/>
    <w:rsid w:val="24F477ED"/>
    <w:rsid w:val="24FA56E8"/>
    <w:rsid w:val="257504C6"/>
    <w:rsid w:val="2576592C"/>
    <w:rsid w:val="26146634"/>
    <w:rsid w:val="263B7AE0"/>
    <w:rsid w:val="266B0851"/>
    <w:rsid w:val="26732FCB"/>
    <w:rsid w:val="2692127C"/>
    <w:rsid w:val="26945630"/>
    <w:rsid w:val="26B306D1"/>
    <w:rsid w:val="26B560F4"/>
    <w:rsid w:val="26C72E54"/>
    <w:rsid w:val="273B1378"/>
    <w:rsid w:val="27832074"/>
    <w:rsid w:val="281E2AB5"/>
    <w:rsid w:val="28726020"/>
    <w:rsid w:val="288D78D3"/>
    <w:rsid w:val="289A6B28"/>
    <w:rsid w:val="28CC07FC"/>
    <w:rsid w:val="28F04B5E"/>
    <w:rsid w:val="290723AC"/>
    <w:rsid w:val="295F0B2D"/>
    <w:rsid w:val="299F2D7A"/>
    <w:rsid w:val="29D97CA1"/>
    <w:rsid w:val="2A0474C7"/>
    <w:rsid w:val="2A261060"/>
    <w:rsid w:val="2A26348E"/>
    <w:rsid w:val="2A5430F7"/>
    <w:rsid w:val="2A62136A"/>
    <w:rsid w:val="2ACB0EB9"/>
    <w:rsid w:val="2B527D81"/>
    <w:rsid w:val="2B873EF8"/>
    <w:rsid w:val="2BA17CDC"/>
    <w:rsid w:val="2BB93F60"/>
    <w:rsid w:val="2C4E1120"/>
    <w:rsid w:val="2C6067B8"/>
    <w:rsid w:val="2D36293A"/>
    <w:rsid w:val="2D6F33C4"/>
    <w:rsid w:val="2DD97BC5"/>
    <w:rsid w:val="2DED0AD4"/>
    <w:rsid w:val="2E034A0D"/>
    <w:rsid w:val="2E0F02B2"/>
    <w:rsid w:val="2E1D65A5"/>
    <w:rsid w:val="2E591811"/>
    <w:rsid w:val="2E5B7AB7"/>
    <w:rsid w:val="2F5132F9"/>
    <w:rsid w:val="2F783D8C"/>
    <w:rsid w:val="2F9B2DEA"/>
    <w:rsid w:val="2FE87441"/>
    <w:rsid w:val="2FF413E7"/>
    <w:rsid w:val="301E0463"/>
    <w:rsid w:val="3034052B"/>
    <w:rsid w:val="303446B2"/>
    <w:rsid w:val="306C302C"/>
    <w:rsid w:val="309E3BD0"/>
    <w:rsid w:val="31BC1357"/>
    <w:rsid w:val="32135324"/>
    <w:rsid w:val="32D14593"/>
    <w:rsid w:val="337C4AB9"/>
    <w:rsid w:val="33827CD3"/>
    <w:rsid w:val="3387008D"/>
    <w:rsid w:val="33A806D0"/>
    <w:rsid w:val="33FC0085"/>
    <w:rsid w:val="34591CB0"/>
    <w:rsid w:val="345A26F2"/>
    <w:rsid w:val="345E10F8"/>
    <w:rsid w:val="346202B8"/>
    <w:rsid w:val="34667C3B"/>
    <w:rsid w:val="347F142A"/>
    <w:rsid w:val="348F1FD6"/>
    <w:rsid w:val="34EA1CA9"/>
    <w:rsid w:val="352005D5"/>
    <w:rsid w:val="35323CCC"/>
    <w:rsid w:val="359B21D9"/>
    <w:rsid w:val="35A56171"/>
    <w:rsid w:val="36066BAA"/>
    <w:rsid w:val="360B4637"/>
    <w:rsid w:val="362D57BE"/>
    <w:rsid w:val="36975CF7"/>
    <w:rsid w:val="36A15EDB"/>
    <w:rsid w:val="36A97D2D"/>
    <w:rsid w:val="36E800CE"/>
    <w:rsid w:val="36F87EB4"/>
    <w:rsid w:val="375458D3"/>
    <w:rsid w:val="37CD046D"/>
    <w:rsid w:val="38247DFB"/>
    <w:rsid w:val="384211BB"/>
    <w:rsid w:val="385359C7"/>
    <w:rsid w:val="387B55F6"/>
    <w:rsid w:val="387C101F"/>
    <w:rsid w:val="389272E0"/>
    <w:rsid w:val="38B35778"/>
    <w:rsid w:val="38BB5007"/>
    <w:rsid w:val="38CB2E2A"/>
    <w:rsid w:val="38FB7279"/>
    <w:rsid w:val="392D2653"/>
    <w:rsid w:val="39E2522A"/>
    <w:rsid w:val="39E470D7"/>
    <w:rsid w:val="39E954BD"/>
    <w:rsid w:val="3A2D4EE5"/>
    <w:rsid w:val="3A3F437E"/>
    <w:rsid w:val="3A7A287E"/>
    <w:rsid w:val="3AA12ABC"/>
    <w:rsid w:val="3B6C3489"/>
    <w:rsid w:val="3B7E0ABE"/>
    <w:rsid w:val="3BDF59BB"/>
    <w:rsid w:val="3BEF200B"/>
    <w:rsid w:val="3BF511EF"/>
    <w:rsid w:val="3C287D1B"/>
    <w:rsid w:val="3C2B440A"/>
    <w:rsid w:val="3C5500C5"/>
    <w:rsid w:val="3C551209"/>
    <w:rsid w:val="3C893E03"/>
    <w:rsid w:val="3CB2535C"/>
    <w:rsid w:val="3CD44BD2"/>
    <w:rsid w:val="3D326D7A"/>
    <w:rsid w:val="3D687F8D"/>
    <w:rsid w:val="3DB25C10"/>
    <w:rsid w:val="3DEC0B66"/>
    <w:rsid w:val="3E0F3349"/>
    <w:rsid w:val="3E177435"/>
    <w:rsid w:val="3E2B5513"/>
    <w:rsid w:val="3E5A3EDC"/>
    <w:rsid w:val="3E84224A"/>
    <w:rsid w:val="3F4A3B39"/>
    <w:rsid w:val="3F607858"/>
    <w:rsid w:val="3FA60160"/>
    <w:rsid w:val="405E6BA3"/>
    <w:rsid w:val="40657668"/>
    <w:rsid w:val="40997BBB"/>
    <w:rsid w:val="41C85FE0"/>
    <w:rsid w:val="41CB4F33"/>
    <w:rsid w:val="4260438F"/>
    <w:rsid w:val="426831AA"/>
    <w:rsid w:val="427D0A83"/>
    <w:rsid w:val="42C81F25"/>
    <w:rsid w:val="431B3734"/>
    <w:rsid w:val="43812C74"/>
    <w:rsid w:val="43EE32E6"/>
    <w:rsid w:val="444D487C"/>
    <w:rsid w:val="44D769AB"/>
    <w:rsid w:val="44E06D57"/>
    <w:rsid w:val="451942DD"/>
    <w:rsid w:val="455B7DE7"/>
    <w:rsid w:val="45780A86"/>
    <w:rsid w:val="459D382D"/>
    <w:rsid w:val="45DE30FC"/>
    <w:rsid w:val="45F46E7C"/>
    <w:rsid w:val="46064560"/>
    <w:rsid w:val="46226871"/>
    <w:rsid w:val="46613824"/>
    <w:rsid w:val="466325D2"/>
    <w:rsid w:val="46882FCF"/>
    <w:rsid w:val="47740445"/>
    <w:rsid w:val="477B66DF"/>
    <w:rsid w:val="47A806A6"/>
    <w:rsid w:val="47C0041A"/>
    <w:rsid w:val="47D4301F"/>
    <w:rsid w:val="47E94B05"/>
    <w:rsid w:val="483806BE"/>
    <w:rsid w:val="486B166D"/>
    <w:rsid w:val="48D66613"/>
    <w:rsid w:val="48EC13B2"/>
    <w:rsid w:val="493F7D06"/>
    <w:rsid w:val="49561C1C"/>
    <w:rsid w:val="497A2F9B"/>
    <w:rsid w:val="49DA6DFC"/>
    <w:rsid w:val="49DE36B2"/>
    <w:rsid w:val="4A1A78ED"/>
    <w:rsid w:val="4A917848"/>
    <w:rsid w:val="4AA051BA"/>
    <w:rsid w:val="4AAA0106"/>
    <w:rsid w:val="4ACC6BB3"/>
    <w:rsid w:val="4ACD77C9"/>
    <w:rsid w:val="4B183CFA"/>
    <w:rsid w:val="4B1D5AB5"/>
    <w:rsid w:val="4BE0264C"/>
    <w:rsid w:val="4BEA3E95"/>
    <w:rsid w:val="4C025383"/>
    <w:rsid w:val="4C0435AC"/>
    <w:rsid w:val="4C304B0A"/>
    <w:rsid w:val="4C88415F"/>
    <w:rsid w:val="4C892DD7"/>
    <w:rsid w:val="4C9B567F"/>
    <w:rsid w:val="4D0E3A1F"/>
    <w:rsid w:val="4D1F5D1A"/>
    <w:rsid w:val="4D500F5A"/>
    <w:rsid w:val="4D811DB6"/>
    <w:rsid w:val="4D9200E8"/>
    <w:rsid w:val="4D95683A"/>
    <w:rsid w:val="4D9B62B4"/>
    <w:rsid w:val="4DDC2168"/>
    <w:rsid w:val="4E1A0CAF"/>
    <w:rsid w:val="4E3C4336"/>
    <w:rsid w:val="4E781A75"/>
    <w:rsid w:val="4EC32E48"/>
    <w:rsid w:val="4EE05822"/>
    <w:rsid w:val="4F1C06CB"/>
    <w:rsid w:val="4F856C7E"/>
    <w:rsid w:val="4F8C5E9D"/>
    <w:rsid w:val="4FA32725"/>
    <w:rsid w:val="4FD47FCA"/>
    <w:rsid w:val="4FDF5118"/>
    <w:rsid w:val="504C026E"/>
    <w:rsid w:val="507A5BD7"/>
    <w:rsid w:val="50A61790"/>
    <w:rsid w:val="50B61FEE"/>
    <w:rsid w:val="50BE4C74"/>
    <w:rsid w:val="50CB7791"/>
    <w:rsid w:val="50D976F5"/>
    <w:rsid w:val="50E53426"/>
    <w:rsid w:val="510016E9"/>
    <w:rsid w:val="51267C4C"/>
    <w:rsid w:val="514D0FB4"/>
    <w:rsid w:val="51AA5AFB"/>
    <w:rsid w:val="52193D95"/>
    <w:rsid w:val="522E7E35"/>
    <w:rsid w:val="525760B6"/>
    <w:rsid w:val="526A60C9"/>
    <w:rsid w:val="529D3717"/>
    <w:rsid w:val="52A6080A"/>
    <w:rsid w:val="52F37A7E"/>
    <w:rsid w:val="530D52D0"/>
    <w:rsid w:val="53103344"/>
    <w:rsid w:val="532605FE"/>
    <w:rsid w:val="53C1594C"/>
    <w:rsid w:val="53DE5BDF"/>
    <w:rsid w:val="5479567D"/>
    <w:rsid w:val="54983006"/>
    <w:rsid w:val="54C5062E"/>
    <w:rsid w:val="54D31CF5"/>
    <w:rsid w:val="55732CF6"/>
    <w:rsid w:val="5573363B"/>
    <w:rsid w:val="5675467A"/>
    <w:rsid w:val="56B43CDC"/>
    <w:rsid w:val="578B3880"/>
    <w:rsid w:val="57C22E3F"/>
    <w:rsid w:val="57C434B7"/>
    <w:rsid w:val="57CA1416"/>
    <w:rsid w:val="58742C84"/>
    <w:rsid w:val="58844D79"/>
    <w:rsid w:val="588F7F5E"/>
    <w:rsid w:val="589A2F65"/>
    <w:rsid w:val="589A3C38"/>
    <w:rsid w:val="58A33B1B"/>
    <w:rsid w:val="58AA4E42"/>
    <w:rsid w:val="58C8623B"/>
    <w:rsid w:val="592F3984"/>
    <w:rsid w:val="59890F39"/>
    <w:rsid w:val="59D6401E"/>
    <w:rsid w:val="5A3E2064"/>
    <w:rsid w:val="5A8F1982"/>
    <w:rsid w:val="5AB86FE7"/>
    <w:rsid w:val="5AC66451"/>
    <w:rsid w:val="5ACC69B8"/>
    <w:rsid w:val="5B7B1236"/>
    <w:rsid w:val="5B957F1C"/>
    <w:rsid w:val="5BA11BE8"/>
    <w:rsid w:val="5BB43102"/>
    <w:rsid w:val="5BD55C6A"/>
    <w:rsid w:val="5CD652DB"/>
    <w:rsid w:val="5CEE06DF"/>
    <w:rsid w:val="5D5D0C42"/>
    <w:rsid w:val="5D6F3EC0"/>
    <w:rsid w:val="5D7579F0"/>
    <w:rsid w:val="5D7F4ACE"/>
    <w:rsid w:val="5D9B2C1E"/>
    <w:rsid w:val="5DAF2A40"/>
    <w:rsid w:val="5E187442"/>
    <w:rsid w:val="5E714CB3"/>
    <w:rsid w:val="5F194F46"/>
    <w:rsid w:val="5FDD06F7"/>
    <w:rsid w:val="600D28FE"/>
    <w:rsid w:val="603D68F1"/>
    <w:rsid w:val="6057061C"/>
    <w:rsid w:val="60733F65"/>
    <w:rsid w:val="607D18D9"/>
    <w:rsid w:val="607F0290"/>
    <w:rsid w:val="60F802B5"/>
    <w:rsid w:val="6135041E"/>
    <w:rsid w:val="61396955"/>
    <w:rsid w:val="61A93DCC"/>
    <w:rsid w:val="61EE6E14"/>
    <w:rsid w:val="62030149"/>
    <w:rsid w:val="621B02FB"/>
    <w:rsid w:val="623A2FE4"/>
    <w:rsid w:val="62425DF2"/>
    <w:rsid w:val="62434137"/>
    <w:rsid w:val="629946DD"/>
    <w:rsid w:val="632415B7"/>
    <w:rsid w:val="63CC4164"/>
    <w:rsid w:val="63DC040D"/>
    <w:rsid w:val="647338E2"/>
    <w:rsid w:val="64A01153"/>
    <w:rsid w:val="64BE01C6"/>
    <w:rsid w:val="64EE6631"/>
    <w:rsid w:val="64FA1851"/>
    <w:rsid w:val="65145F61"/>
    <w:rsid w:val="65314CDC"/>
    <w:rsid w:val="656A2983"/>
    <w:rsid w:val="656E4F40"/>
    <w:rsid w:val="65834E5D"/>
    <w:rsid w:val="65CB6198"/>
    <w:rsid w:val="660261FB"/>
    <w:rsid w:val="66CB3339"/>
    <w:rsid w:val="66CB5CD5"/>
    <w:rsid w:val="66FB4DBB"/>
    <w:rsid w:val="67100A88"/>
    <w:rsid w:val="674C3C22"/>
    <w:rsid w:val="6767609D"/>
    <w:rsid w:val="679C2A4F"/>
    <w:rsid w:val="6868145A"/>
    <w:rsid w:val="689C7DC4"/>
    <w:rsid w:val="69367DF4"/>
    <w:rsid w:val="693E119C"/>
    <w:rsid w:val="69627926"/>
    <w:rsid w:val="69E74FC7"/>
    <w:rsid w:val="6A061A21"/>
    <w:rsid w:val="6A4B6CD5"/>
    <w:rsid w:val="6A691709"/>
    <w:rsid w:val="6A8F179C"/>
    <w:rsid w:val="6AC13A38"/>
    <w:rsid w:val="6AD91623"/>
    <w:rsid w:val="6AFE4916"/>
    <w:rsid w:val="6B2D5466"/>
    <w:rsid w:val="6B540EFE"/>
    <w:rsid w:val="6B9A4A30"/>
    <w:rsid w:val="6BE95A5E"/>
    <w:rsid w:val="6C050E0B"/>
    <w:rsid w:val="6C256C69"/>
    <w:rsid w:val="6C3F2A33"/>
    <w:rsid w:val="6CC23729"/>
    <w:rsid w:val="6CC64B8A"/>
    <w:rsid w:val="6CDF25E6"/>
    <w:rsid w:val="6CED5B67"/>
    <w:rsid w:val="6D0A5A49"/>
    <w:rsid w:val="6D1850BC"/>
    <w:rsid w:val="6D3B484F"/>
    <w:rsid w:val="6D407193"/>
    <w:rsid w:val="6D4908D6"/>
    <w:rsid w:val="6E016208"/>
    <w:rsid w:val="6E794BCD"/>
    <w:rsid w:val="6F0A4DA8"/>
    <w:rsid w:val="6F2B7D45"/>
    <w:rsid w:val="6F35275C"/>
    <w:rsid w:val="6F7121F2"/>
    <w:rsid w:val="6FC63ABF"/>
    <w:rsid w:val="6FE536DD"/>
    <w:rsid w:val="712C7DC8"/>
    <w:rsid w:val="715D0235"/>
    <w:rsid w:val="718B7760"/>
    <w:rsid w:val="71AF7BEE"/>
    <w:rsid w:val="7218251B"/>
    <w:rsid w:val="723F5D8C"/>
    <w:rsid w:val="7265643D"/>
    <w:rsid w:val="731D3349"/>
    <w:rsid w:val="732F6C8F"/>
    <w:rsid w:val="733A5B9A"/>
    <w:rsid w:val="734D67EC"/>
    <w:rsid w:val="738058E6"/>
    <w:rsid w:val="73A90ADD"/>
    <w:rsid w:val="73DF7BFD"/>
    <w:rsid w:val="73E8789D"/>
    <w:rsid w:val="74086B6D"/>
    <w:rsid w:val="7425763C"/>
    <w:rsid w:val="743C276B"/>
    <w:rsid w:val="747401D3"/>
    <w:rsid w:val="747E452E"/>
    <w:rsid w:val="74883A18"/>
    <w:rsid w:val="75097E52"/>
    <w:rsid w:val="75347801"/>
    <w:rsid w:val="753635C0"/>
    <w:rsid w:val="75DF62EF"/>
    <w:rsid w:val="75E82BF4"/>
    <w:rsid w:val="76543D3B"/>
    <w:rsid w:val="76A060FB"/>
    <w:rsid w:val="76F57F2D"/>
    <w:rsid w:val="778B1DFE"/>
    <w:rsid w:val="77D5200F"/>
    <w:rsid w:val="77EF5945"/>
    <w:rsid w:val="78477109"/>
    <w:rsid w:val="78577D18"/>
    <w:rsid w:val="785D6E29"/>
    <w:rsid w:val="78614F6A"/>
    <w:rsid w:val="790234EC"/>
    <w:rsid w:val="791D4849"/>
    <w:rsid w:val="793E14CF"/>
    <w:rsid w:val="796D4151"/>
    <w:rsid w:val="7B042830"/>
    <w:rsid w:val="7B0A4644"/>
    <w:rsid w:val="7B101B78"/>
    <w:rsid w:val="7B482994"/>
    <w:rsid w:val="7BAD2677"/>
    <w:rsid w:val="7BBD3616"/>
    <w:rsid w:val="7BD060AF"/>
    <w:rsid w:val="7BE42039"/>
    <w:rsid w:val="7C5F755C"/>
    <w:rsid w:val="7C622CFB"/>
    <w:rsid w:val="7CC17885"/>
    <w:rsid w:val="7CC25006"/>
    <w:rsid w:val="7CC5559B"/>
    <w:rsid w:val="7D3E77E5"/>
    <w:rsid w:val="7DF5268D"/>
    <w:rsid w:val="7E1652C2"/>
    <w:rsid w:val="7E2754D8"/>
    <w:rsid w:val="7E5C10A0"/>
    <w:rsid w:val="7E7913CA"/>
    <w:rsid w:val="7EA5622C"/>
    <w:rsid w:val="7EDD453B"/>
    <w:rsid w:val="7EFB629F"/>
    <w:rsid w:val="7F4E1A09"/>
    <w:rsid w:val="7FA85FE4"/>
    <w:rsid w:val="7FBF1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7"/>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rFonts w:ascii="Times New Roman" w:hAnsi="Times New Roman" w:eastAsia="宋体" w:cs="Times New Roman"/>
      <w:b/>
      <w:bCs/>
    </w:rPr>
  </w:style>
  <w:style w:type="character" w:styleId="18">
    <w:name w:val="Hyperlink"/>
    <w:unhideWhenUsed/>
    <w:qFormat/>
    <w:uiPriority w:val="99"/>
    <w:rPr>
      <w:rFonts w:ascii="Times New Roman" w:hAnsi="Times New Roman" w:eastAsia="宋体" w:cs="Times New Roman"/>
      <w:color w:val="0000FF"/>
      <w:u w:val="single"/>
    </w:rPr>
  </w:style>
  <w:style w:type="character" w:styleId="19">
    <w:name w:val="annotation reference"/>
    <w:unhideWhenUsed/>
    <w:qFormat/>
    <w:uiPriority w:val="99"/>
    <w:rPr>
      <w:rFonts w:ascii="Times New Roman" w:hAnsi="Times New Roman" w:eastAsia="宋体" w:cs="Times New Roman"/>
      <w:sz w:val="21"/>
      <w:szCs w:val="21"/>
    </w:rPr>
  </w:style>
  <w:style w:type="character" w:styleId="20">
    <w:name w:val="footnote reference"/>
    <w:unhideWhenUsed/>
    <w:qFormat/>
    <w:uiPriority w:val="99"/>
    <w:rPr>
      <w:rFonts w:ascii="Times New Roman" w:hAnsi="Times New Roman" w:eastAsia="宋体" w:cs="Times New Roman"/>
      <w:vertAlign w:val="superscript"/>
    </w:rPr>
  </w:style>
  <w:style w:type="character" w:customStyle="1" w:styleId="21">
    <w:name w:val="标题 1 字符"/>
    <w:link w:val="2"/>
    <w:qFormat/>
    <w:uiPriority w:val="1"/>
    <w:rPr>
      <w:rFonts w:ascii="黑体" w:hAnsi="Times New Roman" w:eastAsia="黑体" w:cs="Times New Roman"/>
      <w:b/>
      <w:bCs/>
      <w:kern w:val="0"/>
      <w:sz w:val="36"/>
      <w:szCs w:val="36"/>
    </w:rPr>
  </w:style>
  <w:style w:type="character" w:customStyle="1" w:styleId="22">
    <w:name w:val="标题 2 字符"/>
    <w:link w:val="3"/>
    <w:qFormat/>
    <w:uiPriority w:val="9"/>
    <w:rPr>
      <w:rFonts w:ascii="Cambria" w:hAnsi="Cambria" w:eastAsia="宋体" w:cs="Times New Roman"/>
      <w:b/>
      <w:bCs/>
      <w:kern w:val="0"/>
      <w:sz w:val="32"/>
      <w:szCs w:val="32"/>
    </w:rPr>
  </w:style>
  <w:style w:type="character" w:customStyle="1" w:styleId="23">
    <w:name w:val="标题 3 字符"/>
    <w:link w:val="4"/>
    <w:qFormat/>
    <w:uiPriority w:val="1"/>
    <w:rPr>
      <w:rFonts w:ascii="宋体" w:hAnsi="Times New Roman" w:eastAsia="宋体" w:cs="Times New Roman"/>
      <w:b/>
      <w:bCs/>
      <w:kern w:val="0"/>
      <w:sz w:val="20"/>
      <w:szCs w:val="21"/>
    </w:rPr>
  </w:style>
  <w:style w:type="character" w:customStyle="1" w:styleId="24">
    <w:name w:val="批注文字 字符"/>
    <w:link w:val="5"/>
    <w:qFormat/>
    <w:uiPriority w:val="99"/>
    <w:rPr>
      <w:rFonts w:ascii="Times New Roman" w:hAnsi="Times New Roman" w:eastAsia="宋体" w:cs="Times New Roman"/>
    </w:rPr>
  </w:style>
  <w:style w:type="character" w:customStyle="1" w:styleId="25">
    <w:name w:val="正文文本 字符"/>
    <w:link w:val="6"/>
    <w:qFormat/>
    <w:uiPriority w:val="1"/>
    <w:rPr>
      <w:rFonts w:ascii="宋体" w:hAnsi="Times New Roman" w:eastAsia="宋体" w:cs="Times New Roman"/>
      <w:kern w:val="0"/>
      <w:sz w:val="20"/>
      <w:szCs w:val="21"/>
    </w:rPr>
  </w:style>
  <w:style w:type="character" w:customStyle="1" w:styleId="26">
    <w:name w:val="日期 字符"/>
    <w:basedOn w:val="16"/>
    <w:link w:val="7"/>
    <w:semiHidden/>
    <w:qFormat/>
    <w:uiPriority w:val="99"/>
    <w:rPr>
      <w:rFonts w:ascii="Times New Roman" w:hAnsi="Times New Roman" w:eastAsia="宋体" w:cs="Times New Roman"/>
    </w:rPr>
  </w:style>
  <w:style w:type="character" w:customStyle="1" w:styleId="27">
    <w:name w:val="批注框文本 字符"/>
    <w:link w:val="8"/>
    <w:semiHidden/>
    <w:qFormat/>
    <w:uiPriority w:val="99"/>
    <w:rPr>
      <w:rFonts w:ascii="Times New Roman" w:hAnsi="Times New Roman" w:eastAsia="宋体" w:cs="Times New Roman"/>
      <w:kern w:val="0"/>
      <w:sz w:val="18"/>
      <w:szCs w:val="18"/>
    </w:rPr>
  </w:style>
  <w:style w:type="character" w:customStyle="1" w:styleId="28">
    <w:name w:val="页脚 字符"/>
    <w:link w:val="9"/>
    <w:qFormat/>
    <w:uiPriority w:val="99"/>
    <w:rPr>
      <w:rFonts w:ascii="Times New Roman" w:hAnsi="Times New Roman" w:eastAsia="宋体" w:cs="Times New Roman"/>
      <w:kern w:val="0"/>
      <w:sz w:val="18"/>
      <w:szCs w:val="18"/>
    </w:rPr>
  </w:style>
  <w:style w:type="character" w:customStyle="1" w:styleId="29">
    <w:name w:val="页眉 字符"/>
    <w:link w:val="10"/>
    <w:qFormat/>
    <w:uiPriority w:val="99"/>
    <w:rPr>
      <w:rFonts w:ascii="Times New Roman" w:hAnsi="Times New Roman" w:eastAsia="宋体" w:cs="Times New Roman"/>
      <w:kern w:val="0"/>
      <w:sz w:val="18"/>
      <w:szCs w:val="18"/>
    </w:rPr>
  </w:style>
  <w:style w:type="character" w:customStyle="1" w:styleId="30">
    <w:name w:val="脚注文本 Char"/>
    <w:qFormat/>
    <w:uiPriority w:val="99"/>
    <w:rPr>
      <w:rFonts w:ascii="Times New Roman" w:hAnsi="Times New Roman" w:eastAsia="宋体" w:cs="Times New Roman"/>
      <w:sz w:val="18"/>
      <w:szCs w:val="18"/>
    </w:rPr>
  </w:style>
  <w:style w:type="character" w:customStyle="1" w:styleId="31">
    <w:name w:val="批注主题 字符"/>
    <w:link w:val="13"/>
    <w:semiHidden/>
    <w:qFormat/>
    <w:uiPriority w:val="99"/>
    <w:rPr>
      <w:rFonts w:ascii="Times New Roman" w:hAnsi="Times New Roman" w:eastAsia="宋体" w:cs="Times New Roman"/>
      <w:b/>
      <w:bCs/>
    </w:rPr>
  </w:style>
  <w:style w:type="paragraph" w:customStyle="1" w:styleId="32">
    <w:name w:val="Table Paragraph"/>
    <w:basedOn w:val="1"/>
    <w:qFormat/>
    <w:uiPriority w:val="1"/>
    <w:pPr>
      <w:autoSpaceDE w:val="0"/>
      <w:autoSpaceDN w:val="0"/>
      <w:adjustRightInd w:val="0"/>
      <w:jc w:val="left"/>
    </w:pPr>
    <w:rPr>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rFonts w:ascii="Times New Roman" w:hAnsi="Times New Roman" w:eastAsia="宋体" w:cs="Times New Roman"/>
      <w:kern w:val="2"/>
      <w:sz w:val="18"/>
      <w:szCs w:val="18"/>
    </w:rPr>
  </w:style>
  <w:style w:type="character" w:customStyle="1" w:styleId="37">
    <w:name w:val="脚注文本 字符1"/>
    <w:link w:val="11"/>
    <w:semiHidden/>
    <w:qFormat/>
    <w:uiPriority w:val="99"/>
    <w:rPr>
      <w:rFonts w:ascii="Times New Roman" w:hAnsi="Times New Roman" w:eastAsia="宋体" w:cs="Times New Roman"/>
      <w:kern w:val="2"/>
      <w:sz w:val="18"/>
      <w:szCs w:val="18"/>
    </w:rPr>
  </w:style>
  <w:style w:type="character" w:customStyle="1" w:styleId="38">
    <w:name w:val="未处理的提及1"/>
    <w:unhideWhenUsed/>
    <w:qFormat/>
    <w:uiPriority w:val="99"/>
    <w:rPr>
      <w:rFonts w:ascii="Times New Roman" w:hAnsi="Times New Roman" w:eastAsia="宋体" w:cs="Times New Roman"/>
      <w:color w:val="605E5C"/>
      <w:shd w:val="clear" w:color="auto" w:fill="E1DFDD"/>
    </w:rPr>
  </w:style>
  <w:style w:type="paragraph" w:customStyle="1" w:styleId="39">
    <w:name w:val="Char Char Char Char Char Char Char Char Char Char Char Char"/>
    <w:basedOn w:val="1"/>
    <w:qFormat/>
    <w:uiPriority w:val="0"/>
    <w:pPr>
      <w:widowControl/>
      <w:spacing w:after="160" w:line="240" w:lineRule="exact"/>
      <w:jc w:val="left"/>
    </w:pPr>
    <w:rPr>
      <w:rFonts w:ascii="Tahoma" w:hAnsi="Tahoma" w:cs="Tahoma"/>
      <w:szCs w:val="21"/>
    </w:rPr>
  </w:style>
  <w:style w:type="paragraph" w:customStyle="1" w:styleId="40">
    <w:name w:val="修订1"/>
    <w:semiHidden/>
    <w:qFormat/>
    <w:uiPriority w:val="99"/>
    <w:rPr>
      <w:rFonts w:ascii="Times New Roman" w:hAnsi="Times New Roman" w:eastAsia="宋体" w:cs="Times New Roman"/>
      <w:kern w:val="2"/>
      <w:sz w:val="21"/>
      <w:szCs w:val="22"/>
      <w:lang w:val="en-US" w:eastAsia="zh-CN" w:bidi="ar-SA"/>
    </w:rPr>
  </w:style>
  <w:style w:type="character" w:customStyle="1" w:styleId="41">
    <w:name w:val="markedcontent"/>
    <w:qFormat/>
    <w:uiPriority w:val="0"/>
    <w:rPr>
      <w:rFonts w:ascii="Times New Roman" w:hAnsi="Times New Roman" w:eastAsia="宋体" w:cs="Times New Roman"/>
    </w:rPr>
  </w:style>
  <w:style w:type="character" w:customStyle="1" w:styleId="42">
    <w:name w:val="fontstyle01"/>
    <w:qFormat/>
    <w:uiPriority w:val="0"/>
    <w:rPr>
      <w:rFonts w:hint="eastAsia" w:ascii="宋体" w:hAnsi="宋体" w:eastAsia="宋体" w:cs="Times New Roman"/>
      <w:color w:val="000000"/>
      <w:sz w:val="22"/>
      <w:szCs w:val="22"/>
    </w:rPr>
  </w:style>
  <w:style w:type="character" w:styleId="43">
    <w:name w:val="Placeholder Text"/>
    <w:basedOn w:val="16"/>
    <w:unhideWhenUsed/>
    <w:qFormat/>
    <w:uiPriority w:val="99"/>
    <w:rPr>
      <w:rFonts w:ascii="Times New Roman" w:hAnsi="Times New Roman" w:eastAsia="宋体" w:cs="Times New Roman"/>
      <w:color w:val="808080"/>
    </w:rPr>
  </w:style>
  <w:style w:type="paragraph" w:customStyle="1" w:styleId="44">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45">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46">
    <w:name w:val="修订4"/>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5"/>
    <customShpInfo spid="_x0000_s1028"/>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17550</Words>
  <Characters>18077</Characters>
  <Lines>821</Lines>
  <Paragraphs>758</Paragraphs>
  <TotalTime>3</TotalTime>
  <ScaleCrop>false</ScaleCrop>
  <LinksUpToDate>false</LinksUpToDate>
  <CharactersWithSpaces>34869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2022-11-13T05:12:00Z</dcterms:created>
  <dc:creator>JSYH</dc:creator>
  <cp:lastModifiedBy>jsyh</cp:lastModifiedBy>
  <cp:lastPrinted>2022-03-04T08:58:00Z</cp:lastPrinted>
  <dcterms:modified xsi:type="dcterms:W3CDTF">2026-02-26T08:49:05Z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A30B4F8233A641D28C6BDF6F2DC6A43F</vt:lpwstr>
  </property>
  <property fmtid="{D5CDD505-2E9C-101B-9397-08002B2CF9AE}" pid="4" name="5B77E7CEEC58BC6AFAE8886BEB80DBEB">
    <vt:lpwstr>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</vt:lpwstr>
  </property>
</Properties>
</file>