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ascii="楷体" w:hAnsi="楷体" w:eastAsia="楷体" w:cs="楷体"/>
                <w:b w:val="0"/>
                <w:i w:val="0"/>
                <w:color w:val="auto"/>
                <w:sz w:val="20"/>
                <w:u w:val="none"/>
              </w:rPr>
              <w:t>苏银理财恒源灵动最短持有14天14号</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A份额：苏银理财恒源灵动最短持有14天14号A/J05005</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F份额：苏银理财恒源灵动最短持有14天14号F/J05006</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G份额：苏银理财恒源灵动最短持有14天14号G/J05007</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H份额：苏银理财恒源灵动最短持有14天14号H/J05008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Z7003125000172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ascii="楷体" w:hAnsi="楷体" w:eastAsia="楷体" w:cs="楷体"/>
                <w:b w:val="0"/>
                <w:i w:val="0"/>
                <w:color w:val="auto"/>
                <w:sz w:val="20"/>
                <w:u w:val="none"/>
              </w:rPr>
              <w:t>2025年7月7日至2025年7月9日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2025年7月10日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2035年12月27日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3822天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bookmarkStart w:id="0" w:name="_GoBack"/>
            <w:bookmarkEnd w:id="0"/>
            <w:r>
              <w:rPr>
                <w:rFonts w:ascii="楷体" w:hAnsi="楷体" w:eastAsia="楷体" w:cs="楷体"/>
                <w:b w:val="0"/>
                <w:i w:val="0"/>
                <w:color w:val="auto"/>
                <w:sz w:val="20"/>
                <w:u w:val="none"/>
              </w:rPr>
              <w:t>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ascii="楷体" w:hAnsi="楷体" w:eastAsia="楷体" w:cs="楷体"/>
                <w:b w:val="0"/>
                <w:i w:val="0"/>
                <w:color w:val="auto"/>
                <w:sz w:val="20"/>
                <w:u w:val="none"/>
              </w:rPr>
              <w:t>投资范围：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总值比例不高于20%。</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其中现金或者到期日在一年以内的国债、中央银行票据和政策性金融债券不低于产品净资产的5%。流动性受限资产的市值在开放日不得超过该产品资产净值的15%。7个工作日可变现资产的可变现价值不低于该产品资产净值的10%。</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ascii="楷体" w:hAnsi="楷体" w:eastAsia="楷体" w:cs="楷体"/>
                <w:b w:val="0"/>
                <w:i w:val="0"/>
                <w:color w:val="auto"/>
                <w:sz w:val="20"/>
                <w:u w:val="none"/>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ascii="楷体" w:hAnsi="楷体" w:eastAsia="楷体" w:cs="楷体"/>
                <w:b w:val="0"/>
                <w:i w:val="0"/>
                <w:color w:val="auto"/>
                <w:sz w:val="20"/>
                <w:u w:val="none"/>
              </w:rPr>
              <w:t>A份额：0.2</w:t>
            </w:r>
            <w:r>
              <w:rPr>
                <w:rFonts w:hint="eastAsia" w:ascii="楷体" w:hAnsi="楷体" w:eastAsia="楷体" w:cs="楷体"/>
                <w:b w:val="0"/>
                <w:i w:val="0"/>
                <w:color w:val="auto"/>
                <w:sz w:val="20"/>
                <w:u w:val="none"/>
                <w:lang w:val="en-US" w:eastAsia="zh-CN"/>
              </w:rPr>
              <w:t>0</w:t>
            </w:r>
            <w:r>
              <w:rPr>
                <w:rFonts w:ascii="楷体" w:hAnsi="楷体" w:eastAsia="楷体" w:cs="楷体"/>
                <w:b w:val="0"/>
                <w:i w:val="0"/>
                <w:color w:val="auto"/>
                <w:sz w:val="20"/>
                <w:u w:val="none"/>
              </w:rPr>
              <w:t>%/年</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F份额：0.</w:t>
            </w:r>
            <w:r>
              <w:rPr>
                <w:rFonts w:hint="eastAsia" w:ascii="楷体" w:hAnsi="楷体" w:eastAsia="楷体" w:cs="楷体"/>
                <w:b w:val="0"/>
                <w:i w:val="0"/>
                <w:color w:val="auto"/>
                <w:sz w:val="20"/>
                <w:u w:val="none"/>
                <w:lang w:val="en-US" w:eastAsia="zh-CN"/>
              </w:rPr>
              <w:t>30</w:t>
            </w:r>
            <w:r>
              <w:rPr>
                <w:rFonts w:ascii="楷体" w:hAnsi="楷体" w:eastAsia="楷体" w:cs="楷体"/>
                <w:b w:val="0"/>
                <w:i w:val="0"/>
                <w:color w:val="auto"/>
                <w:sz w:val="20"/>
                <w:u w:val="none"/>
              </w:rPr>
              <w:t>%/年</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G份额：0.15%/年</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H份额：0.1</w:t>
            </w:r>
            <w:r>
              <w:rPr>
                <w:rFonts w:hint="eastAsia" w:ascii="楷体" w:hAnsi="楷体" w:eastAsia="楷体" w:cs="楷体"/>
                <w:b w:val="0"/>
                <w:i w:val="0"/>
                <w:color w:val="auto"/>
                <w:sz w:val="20"/>
                <w:u w:val="none"/>
                <w:lang w:val="en-US" w:eastAsia="zh-CN"/>
              </w:rPr>
              <w:t>0</w:t>
            </w:r>
            <w:r>
              <w:rPr>
                <w:rFonts w:ascii="楷体" w:hAnsi="楷体" w:eastAsia="楷体" w:cs="楷体"/>
                <w:b w:val="0"/>
                <w:i w:val="0"/>
                <w:color w:val="auto"/>
                <w:sz w:val="20"/>
                <w:u w:val="none"/>
              </w:rPr>
              <w:t>%/年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ascii="楷体" w:hAnsi="楷体" w:eastAsia="楷体" w:cs="楷体"/>
                <w:b w:val="0"/>
                <w:i w:val="0"/>
                <w:color w:val="auto"/>
                <w:sz w:val="20"/>
                <w:u w:val="none"/>
              </w:rPr>
              <w:t>中债-新综合财富(1年以下)指数收益率*35%+中国人民银行公布的7天通知存款利率*65%，2025年7月10日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户名：苏银理财有限责任公司</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开户行：江苏银行南京河西支行</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账号：31120188000183568</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大额支付系统行号：313301098112</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4B6639A"/>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BF91934"/>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11</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徐孟云</cp:lastModifiedBy>
  <cp:lastPrinted>2022-11-07T01:50:00Z</cp:lastPrinted>
  <dcterms:modified xsi:type="dcterms:W3CDTF">2026-07-07T08:47:29Z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