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江苏灌云农村商业银行股份有限公司</w:t>
      </w:r>
    </w:p>
    <w:p>
      <w:pPr>
        <w:jc w:val="center"/>
        <w:rPr>
          <w:rFonts w:hint="eastAsia" w:ascii="华文中宋" w:hAnsi="华文中宋" w:eastAsia="华文中宋" w:cs="华文中宋"/>
          <w:sz w:val="44"/>
          <w:szCs w:val="44"/>
          <w:lang w:val="en-US" w:eastAsia="zh-CN"/>
        </w:rPr>
      </w:pPr>
      <w:r>
        <w:rPr>
          <w:rFonts w:hint="eastAsia" w:ascii="华文中宋" w:hAnsi="华文中宋" w:eastAsia="华文中宋" w:cs="华文中宋"/>
          <w:sz w:val="44"/>
          <w:szCs w:val="44"/>
          <w:lang w:val="en-US" w:eastAsia="zh-CN"/>
        </w:rPr>
        <w:t>2026年第二季度第三支柱信息披露报告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江苏灌云农村商业银行股份有限公司根据《商业银行资本管理办法》（国家金融监督管理总局令2023年第4号）附件22《商业银行信息披露内容和要求》的规定，披露相关信息如下：</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KM1监管并表关键审慎监管指标</w:t>
      </w:r>
    </w:p>
    <w:p>
      <w:pPr>
        <w:ind w:firstLine="6090" w:firstLineChars="2900"/>
        <w:rPr>
          <w:rFonts w:hint="default"/>
          <w:lang w:val="en-US" w:eastAsia="zh-CN"/>
        </w:rPr>
      </w:pPr>
      <w:r>
        <w:rPr>
          <w:rFonts w:hint="eastAsia"/>
          <w:lang w:val="en-US" w:eastAsia="zh-CN"/>
        </w:rPr>
        <w:t>单位：万元（人民币），%</w:t>
      </w:r>
    </w:p>
    <w:tbl>
      <w:tblPr>
        <w:tblStyle w:val="4"/>
        <w:tblW w:w="9880" w:type="dxa"/>
        <w:tblInd w:w="-6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70"/>
        <w:gridCol w:w="1770"/>
        <w:gridCol w:w="1268"/>
        <w:gridCol w:w="1268"/>
        <w:gridCol w:w="1268"/>
        <w:gridCol w:w="1268"/>
        <w:gridCol w:w="12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35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项目</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8"/>
                <w:szCs w:val="18"/>
                <w:u w:val="none"/>
                <w:lang w:val="en-US" w:eastAsia="zh-CN" w:bidi="ar"/>
              </w:rPr>
              <w:t>2026年6月30日</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8"/>
                <w:szCs w:val="18"/>
                <w:u w:val="none"/>
                <w:lang w:val="en-US" w:eastAsia="zh-CN" w:bidi="ar"/>
              </w:rPr>
              <w:t>2026年3月31日</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8"/>
                <w:szCs w:val="18"/>
                <w:u w:val="none"/>
                <w:lang w:val="en-US" w:eastAsia="zh-CN" w:bidi="ar"/>
              </w:rPr>
              <w:t>2025年12月31日</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8"/>
                <w:szCs w:val="18"/>
                <w:u w:val="none"/>
                <w:lang w:val="en-US" w:eastAsia="zh-CN" w:bidi="ar"/>
              </w:rPr>
              <w:t>2025年9月30日</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6"/>
                <w:szCs w:val="16"/>
                <w:u w:val="none"/>
              </w:rPr>
            </w:pPr>
            <w:r>
              <w:rPr>
                <w:rFonts w:hint="eastAsia" w:ascii="微软雅黑" w:hAnsi="微软雅黑" w:eastAsia="微软雅黑" w:cs="微软雅黑"/>
                <w:b/>
                <w:bCs/>
                <w:i w:val="0"/>
                <w:iCs w:val="0"/>
                <w:color w:val="000000"/>
                <w:kern w:val="0"/>
                <w:sz w:val="18"/>
                <w:szCs w:val="18"/>
                <w:u w:val="none"/>
                <w:lang w:val="en-US" w:eastAsia="zh-CN" w:bidi="ar"/>
              </w:rPr>
              <w:t>2025年6月30日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可用资本（数额）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核心一级资本净额</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181381.15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167902.31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160697.59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162836.95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163370.31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一级资本净额</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181381.15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167902.31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160697.59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162836.95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163370.31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资本净额</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196917.55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182941.94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174949.49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176569.41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177569.04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风险加权资产（数额）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风险加权资产</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1380712.81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1340474.06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1276669.23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1231875.16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1269643.35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资本充足率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核心一级资本充足率（%）</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13.14%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12.53%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12.59%</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13.22%</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一级资本充足率（%）</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13.14%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12.53%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12.59%</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13.22%</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资本充足率（%）</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14.26%</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13.65%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13.70%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14.33%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储备资本要求（%）</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逆周期资本要求（%）</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全球系统重要性银行或国内系统重要性银行附加资本要求（%）</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其他各级资本要求（%）（8+9+10）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满足最低资本要求后的可用核心一级资本净额占风险加权资产的比例（%）</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6.26%</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5.65%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5.70%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6.33%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杠杆率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调整后表内外资产余额</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2742514.63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2491547.37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2423420.77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2386018.53 </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2319473.39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杠杆率（%）</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6.74%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6.63%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6.82%</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14a</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杠杆率a（%）</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6.74%</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6.63%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6.82%</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流动性覆盖率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合格优质流动性资产</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现金净流出量</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17</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流动性覆盖率（%）</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净稳定资金比例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可用稳定资金合计</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所需稳定资金合计</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20</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净稳定资金比例（%）</w:t>
            </w: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7F7F7F"/>
            <w:vAlign w:val="bottom"/>
          </w:tcPr>
          <w:p>
            <w:pPr>
              <w:jc w:val="both"/>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880" w:type="dxa"/>
            <w:gridSpan w:val="7"/>
            <w:tcBorders>
              <w:top w:val="single" w:color="000000" w:sz="4" w:space="0"/>
              <w:left w:val="single" w:color="000000" w:sz="4" w:space="0"/>
              <w:bottom w:val="single" w:color="000000" w:sz="4" w:space="0"/>
              <w:right w:val="single" w:color="000000" w:sz="4" w:space="0"/>
            </w:tcBorders>
            <w:shd w:val="clear" w:color="auto" w:fill="D9D9D9"/>
            <w:vAlign w:val="top"/>
          </w:tcPr>
          <w:p>
            <w:pPr>
              <w:keepNext w:val="0"/>
              <w:keepLines w:val="0"/>
              <w:widowControl/>
              <w:suppressLineNumbers w:val="0"/>
              <w:jc w:val="left"/>
              <w:textAlignment w:val="top"/>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流动性比例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w:t>
            </w:r>
          </w:p>
        </w:tc>
        <w:tc>
          <w:tcPr>
            <w:tcW w:w="17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流动性比例（%）</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75.13%</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72.07%</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68.05%</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78.81%</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65.37%</w:t>
            </w:r>
          </w:p>
        </w:tc>
      </w:tr>
    </w:tbl>
    <w:p>
      <w:pPr>
        <w:jc w:val="center"/>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CC1资本构成</w:t>
      </w:r>
    </w:p>
    <w:p>
      <w:pPr>
        <w:ind w:firstLine="6090" w:firstLineChars="2900"/>
        <w:rPr>
          <w:rFonts w:hint="eastAsia"/>
          <w:lang w:val="en-US" w:eastAsia="zh-CN"/>
        </w:rPr>
      </w:pPr>
      <w:r>
        <w:rPr>
          <w:rFonts w:hint="eastAsia"/>
          <w:lang w:val="en-US" w:eastAsia="zh-CN"/>
        </w:rPr>
        <w:t>单位：万元（人民币），%</w:t>
      </w:r>
    </w:p>
    <w:tbl>
      <w:tblPr>
        <w:tblStyle w:val="4"/>
        <w:tblW w:w="8376"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0"/>
        <w:gridCol w:w="2470"/>
        <w:gridCol w:w="1718"/>
        <w:gridCol w:w="1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452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18"/>
                <w:szCs w:val="18"/>
                <w:u w:val="none"/>
              </w:rPr>
            </w:pPr>
            <w:bookmarkStart w:id="0" w:name="_GoBack"/>
            <w:r>
              <w:rPr>
                <w:rFonts w:hint="eastAsia" w:ascii="微软雅黑" w:hAnsi="微软雅黑" w:eastAsia="微软雅黑" w:cs="微软雅黑"/>
                <w:i w:val="0"/>
                <w:iCs w:val="0"/>
                <w:color w:val="000000"/>
                <w:kern w:val="0"/>
                <w:sz w:val="18"/>
                <w:szCs w:val="18"/>
                <w:u w:val="none"/>
                <w:lang w:val="en-US" w:eastAsia="zh-CN" w:bidi="ar"/>
              </w:rPr>
              <w:t>项目</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a</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blHeader/>
        </w:trPr>
        <w:tc>
          <w:tcPr>
            <w:tcW w:w="452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18"/>
                <w:szCs w:val="18"/>
                <w:u w:val="none"/>
              </w:rPr>
            </w:pP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数额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代码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核心一级资本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实收资本和资本公积可计入部分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66180.08661</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e+g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留存收益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127645.1652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2a</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盈余公积</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15232.75977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2b</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一般风险准备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63813.7571</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i</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2c</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未分配利润</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48598.64833</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j</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累计其他综合收益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418.970149</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少数股东资本可计入部分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扣除前的核心一级资本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194244.222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Style w:val="9"/>
                <w:lang w:val="en-US" w:eastAsia="zh-CN" w:bidi="ar"/>
              </w:rPr>
              <w:t>核心一级资本：扣除项</w:t>
            </w:r>
            <w:r>
              <w:rPr>
                <w:rFonts w:hint="eastAsia" w:ascii="微软雅黑" w:hAnsi="微软雅黑" w:eastAsia="微软雅黑" w:cs="微软雅黑"/>
                <w:i w:val="0"/>
                <w:iCs w:val="0"/>
                <w:color w:val="000000"/>
                <w:kern w:val="0"/>
                <w:sz w:val="18"/>
                <w:szCs w:val="18"/>
                <w:u w:val="none"/>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审慎估值调整</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商誉（扣除递延税负债）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a-c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其他无形资产（土地使用权除外）（扣除递延税负债）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45.957202</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依赖未来盈利的由经营亏损引起的净递延税资产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对未按公允价值计量的项目进行套期形成的现金流储备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损失准备缺口</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资产证券化销售利得</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自身信用风险变化导致其负债公允价值变化带来的未实现损益</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确定受益类的养老金资产净额（扣除递延税负债）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直接或间接持有本银行的股票</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银行间或银行与其他金融机构间通过协议相互持有的核心一级资本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对未并表金融机构小额少数资本投资中的核心一级资本中应扣除金额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对未并表金融机构大额少数资本投资中的核心一级资本中应扣除金额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其他依赖于银行未来盈利的净递延税资产中应扣除金额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12817.11123</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对未并表金融机构大额少数资本投资中的核心一级资本和其他依赖于银行未来盈利的净递延税资产的未扣除部分超过核心一级资本15%的应扣除金额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其中：应在对金融机构大额少数资本投资中扣除的金额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其中：应在其他依赖于银行未来盈利的净递延税资产中扣除的金额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其他应在核心一级资本中扣除的项目合计</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应从其他一级资本和二级资本中扣除的未扣缺口</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核心一级资本扣除项总和</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12863.06843</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核心一级资本净额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181381.1535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其他一级资本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其他一级资本工具及其溢价</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其中：权益部分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其中：负债部分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少数股东资本可计入部分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扣除前的其他一级资本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其他一级资本:扣除项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直接或间接持有的本银行其他一级资本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银行间或银行与其他金融机构间通过协议相互持有的其他一级资本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对未并表金融机构小额少数资本投资中的其他一级资本中应扣除金额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对未并表金融机构大额少数资本投资中的其他一级资本中应扣除金额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其他应在其他一级资本中扣除的项目合计</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应从二级资本中扣除的未扣缺口</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其他一级资本扣除项总和</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39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其他一级资本净额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一级资本净额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181381.1535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二级资本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二级资本工具及其溢价</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少数股东资本可计入部分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超额损失准备可计入部分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15536.39737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扣除前的二级资本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15536.39737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二级资本：扣除项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直接或间接持有的本银行的二级资本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银行间或银行与其他金融机构间通过协议相互持有的其他一级资本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对未并表金融机构小额少数资本投资中的二级资本中应扣除金额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对未并表金融机构大额少数资本投资中的二级资本</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49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其他应在二级资本中扣除的项目合计</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二级资本扣除项总和</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二级资本净额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15536.39737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总资本净额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196917.5509</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风险加权资产</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1380712.811</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资本充足率和其他各级资本要求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核心一级资本充足率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13.14%</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一级资本充足率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13.14%</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14.26%</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其他各级资本要求（%）</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其中：储备资本要求</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2.50%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其中：逆周期资本要求</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0.00%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 xml:space="preserve">    其中：全球系统重要性银行或国内系统重要性银行附加资本要求</w:t>
            </w:r>
          </w:p>
        </w:tc>
        <w:tc>
          <w:tcPr>
            <w:tcW w:w="1701" w:type="dxa"/>
            <w:tcBorders>
              <w:top w:val="single" w:color="000000" w:sz="4" w:space="0"/>
              <w:left w:val="single" w:color="000000" w:sz="4" w:space="0"/>
              <w:bottom w:val="single" w:color="000000" w:sz="4" w:space="0"/>
              <w:right w:val="single" w:color="000000" w:sz="4" w:space="0"/>
            </w:tcBorders>
            <w:shd w:val="clear" w:color="auto" w:fill="7F7F7F" w:themeFill="text1" w:themeFillTint="7F"/>
            <w:vAlign w:val="bottom"/>
          </w:tcPr>
          <w:p>
            <w:pPr>
              <w:jc w:val="both"/>
              <w:rPr>
                <w:rFonts w:hint="eastAsia" w:ascii="微软雅黑" w:hAnsi="微软雅黑" w:eastAsia="微软雅黑" w:cs="微软雅黑"/>
                <w:i w:val="0"/>
                <w:iCs w:val="0"/>
                <w:color w:val="000000"/>
                <w:sz w:val="18"/>
                <w:szCs w:val="18"/>
                <w:u w:val="none"/>
              </w:rPr>
            </w:pPr>
          </w:p>
        </w:tc>
        <w:tc>
          <w:tcPr>
            <w:tcW w:w="1701" w:type="dxa"/>
            <w:tcBorders>
              <w:top w:val="single" w:color="000000" w:sz="4" w:space="0"/>
              <w:left w:val="single" w:color="000000" w:sz="4" w:space="0"/>
              <w:bottom w:val="single" w:color="000000" w:sz="4" w:space="0"/>
              <w:right w:val="single" w:color="000000" w:sz="4" w:space="0"/>
            </w:tcBorders>
            <w:shd w:val="clear" w:color="auto" w:fill="7F7F7F" w:themeFill="text1" w:themeFillTint="7F"/>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61</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满足最低资本要求后的可用核心一级资本净额占风险加权资产的比例（%）</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6.26%</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我国最低监管资本要求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62</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核心一级资本充足率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5.00%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63</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一级资本充足率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6.00%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64</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资本充足率</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8.00%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门槛扣除项中未扣除部分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65</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对未并表金融机构的小额少数资本投资中未扣除部分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66</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对未并表金融机构的大额少数资本投资中未扣除部分</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0</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67</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其他依赖于银行未来盈利的净递延税资产（扣除递延税负债）</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19419.82648</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701" w:type="dxa"/>
            <w:gridSpan w:val="4"/>
            <w:tcBorders>
              <w:top w:val="single" w:color="000000" w:sz="4" w:space="0"/>
              <w:left w:val="single" w:color="000000" w:sz="4" w:space="0"/>
              <w:bottom w:val="single" w:color="000000" w:sz="4" w:space="0"/>
              <w:right w:val="single" w:color="000000" w:sz="4" w:space="0"/>
            </w:tcBorders>
            <w:shd w:val="clear" w:color="auto" w:fill="D0CECE"/>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可计入二级资本的超额损失准备的限额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68</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权重法下，实际计提的超额损失准备金额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122862.5515</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微软雅黑" w:hAnsi="微软雅黑" w:eastAsia="微软雅黑" w:cs="微软雅黑"/>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69</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权重法下，可计入二级资本超额损失准备的数额</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color w:val="000000"/>
                <w:kern w:val="0"/>
                <w:sz w:val="18"/>
                <w:szCs w:val="18"/>
                <w:u w:val="none"/>
                <w:lang w:val="en-US" w:eastAsia="zh-CN" w:bidi="ar"/>
              </w:rPr>
              <w:t>15536.39737</w:t>
            </w:r>
          </w:p>
        </w:tc>
        <w:tc>
          <w:tcPr>
            <w:tcW w:w="1701"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eastAsia" w:ascii="微软雅黑" w:hAnsi="微软雅黑" w:eastAsia="微软雅黑" w:cs="微软雅黑"/>
                <w:i w:val="0"/>
                <w:iCs w:val="0"/>
                <w:color w:val="000000"/>
                <w:sz w:val="18"/>
                <w:szCs w:val="18"/>
                <w:u w:val="none"/>
              </w:rPr>
            </w:pPr>
          </w:p>
        </w:tc>
      </w:tr>
      <w:bookmarkEnd w:id="0"/>
    </w:tbl>
    <w:p>
      <w:pPr>
        <w:rPr>
          <w:rFonts w:hint="default"/>
          <w:lang w:val="en-US" w:eastAsia="zh-CN"/>
        </w:rPr>
      </w:pPr>
    </w:p>
    <w:p>
      <w:pPr>
        <w:rPr>
          <w:rFonts w:hint="default"/>
          <w:lang w:val="en-US" w:eastAsia="zh-CN"/>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B63E23"/>
    <w:rsid w:val="13420F17"/>
    <w:rsid w:val="1ECB3353"/>
    <w:rsid w:val="20545682"/>
    <w:rsid w:val="32C437EB"/>
    <w:rsid w:val="352F6097"/>
    <w:rsid w:val="3A33064D"/>
    <w:rsid w:val="3C2B4DB1"/>
    <w:rsid w:val="3E081A86"/>
    <w:rsid w:val="3EA0013E"/>
    <w:rsid w:val="4CCA390C"/>
    <w:rsid w:val="5A5B3279"/>
    <w:rsid w:val="5D942216"/>
    <w:rsid w:val="62100C90"/>
    <w:rsid w:val="6A8160E7"/>
    <w:rsid w:val="6E3A1865"/>
    <w:rsid w:val="79642FF5"/>
    <w:rsid w:val="7CD746CA"/>
    <w:rsid w:val="7CFB25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31"/>
    <w:basedOn w:val="5"/>
    <w:qFormat/>
    <w:uiPriority w:val="0"/>
    <w:rPr>
      <w:rFonts w:hint="eastAsia" w:ascii="微软雅黑" w:hAnsi="微软雅黑" w:eastAsia="微软雅黑" w:cs="微软雅黑"/>
      <w:b/>
      <w:bCs/>
      <w:color w:val="000000"/>
      <w:sz w:val="18"/>
      <w:szCs w:val="18"/>
      <w:u w:val="none"/>
    </w:rPr>
  </w:style>
  <w:style w:type="character" w:customStyle="1" w:styleId="7">
    <w:name w:val="font21"/>
    <w:basedOn w:val="5"/>
    <w:qFormat/>
    <w:uiPriority w:val="0"/>
    <w:rPr>
      <w:rFonts w:hint="eastAsia" w:ascii="微软雅黑" w:hAnsi="微软雅黑" w:eastAsia="微软雅黑" w:cs="微软雅黑"/>
      <w:color w:val="000000"/>
      <w:sz w:val="18"/>
      <w:szCs w:val="18"/>
      <w:u w:val="none"/>
    </w:rPr>
  </w:style>
  <w:style w:type="character" w:customStyle="1" w:styleId="8">
    <w:name w:val="font01"/>
    <w:basedOn w:val="5"/>
    <w:qFormat/>
    <w:uiPriority w:val="0"/>
    <w:rPr>
      <w:rFonts w:hint="eastAsia" w:ascii="微软雅黑" w:hAnsi="微软雅黑" w:eastAsia="微软雅黑" w:cs="微软雅黑"/>
      <w:b/>
      <w:bCs/>
      <w:color w:val="000000"/>
      <w:sz w:val="18"/>
      <w:szCs w:val="18"/>
      <w:u w:val="none"/>
    </w:rPr>
  </w:style>
  <w:style w:type="character" w:customStyle="1" w:styleId="9">
    <w:name w:val="font11"/>
    <w:basedOn w:val="5"/>
    <w:uiPriority w:val="0"/>
    <w:rPr>
      <w:rFonts w:hint="eastAsia" w:ascii="微软雅黑" w:hAnsi="微软雅黑" w:eastAsia="微软雅黑" w:cs="微软雅黑"/>
      <w:b/>
      <w:bCs/>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2024-06-18T16:03:00Z</dcterms:created>
  <dc:creator>Administrator</dc:creator>
  <cp:lastModifiedBy>Administrator</cp:lastModifiedBy>
  <cp:lastPrinted>2024-07-25T01:15:00Z</cp:lastPrinted>
  <dcterms:modified xsi:type="dcterms:W3CDTF">2026-07-15T07:08:27Z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4D51B23566164A4E8C5ABD6FFC1A5C1A</vt:lpwstr>
  </property>
</Properties>
</file>